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C59" w:rsidRDefault="00E63C59"/>
    <w:p w:rsidR="00A65CA6" w:rsidRDefault="00A65CA6"/>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8C31EF" w:rsidP="008C31EF">
            <w:pPr>
              <w:shd w:val="solid" w:color="FFFFFF" w:fill="FFFFFF"/>
              <w:spacing w:before="0" w:line="240" w:lineRule="atLeast"/>
            </w:pPr>
            <w:bookmarkStart w:id="0" w:name="ditulogo"/>
            <w:bookmarkEnd w:id="0"/>
            <w:r>
              <w:rPr>
                <w:noProof/>
                <w:lang w:val="en-US" w:eastAsia="zh-CN"/>
              </w:rPr>
              <w:drawing>
                <wp:inline distT="0" distB="0" distL="0" distR="0" wp14:anchorId="24648587" wp14:editId="3F635759">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8C31EF" w:rsidRPr="00982084" w:rsidRDefault="008C31EF" w:rsidP="008C31EF">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9 July 2012</w:t>
            </w:r>
          </w:p>
        </w:tc>
        <w:tc>
          <w:tcPr>
            <w:tcW w:w="3451" w:type="dxa"/>
          </w:tcPr>
          <w:p w:rsidR="000069D4" w:rsidRPr="008C31EF" w:rsidRDefault="008C31EF"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5D/74-E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8C31EF" w:rsidRDefault="008C31EF" w:rsidP="00A5173C">
            <w:pPr>
              <w:shd w:val="solid" w:color="FFFFFF" w:fill="FFFFFF"/>
              <w:spacing w:before="0" w:line="240" w:lineRule="atLeast"/>
              <w:rPr>
                <w:rFonts w:ascii="Verdana" w:hAnsi="Verdana"/>
                <w:sz w:val="20"/>
                <w:lang w:eastAsia="zh-CN"/>
              </w:rPr>
            </w:pPr>
            <w:r>
              <w:rPr>
                <w:rFonts w:ascii="Verdana" w:hAnsi="Verdana"/>
                <w:b/>
                <w:sz w:val="20"/>
                <w:lang w:eastAsia="zh-CN"/>
              </w:rPr>
              <w:t>9 July 2012</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Default="008C31EF"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8C31EF" w:rsidRDefault="008C31EF" w:rsidP="00A5173C">
            <w:pPr>
              <w:shd w:val="solid" w:color="FFFFFF" w:fill="FFFFFF"/>
              <w:spacing w:before="0" w:line="240" w:lineRule="atLeast"/>
              <w:rPr>
                <w:rFonts w:ascii="Verdana" w:eastAsia="SimSun" w:hAnsi="Verdana"/>
                <w:b/>
                <w:sz w:val="20"/>
                <w:lang w:eastAsia="zh-CN"/>
              </w:rPr>
            </w:pPr>
          </w:p>
          <w:p w:rsidR="008C31EF" w:rsidRPr="008C31EF" w:rsidRDefault="008C31EF"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SPECTRUM ASPECTS</w:t>
            </w:r>
          </w:p>
        </w:tc>
      </w:tr>
      <w:tr w:rsidR="000069D4">
        <w:trPr>
          <w:cantSplit/>
        </w:trPr>
        <w:tc>
          <w:tcPr>
            <w:tcW w:w="10031" w:type="dxa"/>
            <w:gridSpan w:val="2"/>
          </w:tcPr>
          <w:p w:rsidR="000069D4" w:rsidRPr="00A65CA6" w:rsidRDefault="00A65CA6" w:rsidP="00A65CA6">
            <w:pPr>
              <w:pStyle w:val="Source"/>
            </w:pPr>
            <w:bookmarkStart w:id="5" w:name="dsource" w:colFirst="0" w:colLast="0"/>
            <w:bookmarkEnd w:id="4"/>
            <w:r w:rsidRPr="00A65CA6">
              <w:t>AT&amp;T</w:t>
            </w:r>
          </w:p>
        </w:tc>
      </w:tr>
      <w:tr w:rsidR="000069D4">
        <w:trPr>
          <w:cantSplit/>
        </w:trPr>
        <w:tc>
          <w:tcPr>
            <w:tcW w:w="10031" w:type="dxa"/>
            <w:gridSpan w:val="2"/>
          </w:tcPr>
          <w:p w:rsidR="000069D4" w:rsidRDefault="00A65CA6" w:rsidP="00A65CA6">
            <w:pPr>
              <w:pStyle w:val="RepNo"/>
              <w:rPr>
                <w:lang w:eastAsia="zh-CN"/>
              </w:rPr>
            </w:pPr>
            <w:bookmarkStart w:id="6" w:name="drec" w:colFirst="0" w:colLast="0"/>
            <w:bookmarkEnd w:id="5"/>
            <w:r>
              <w:t xml:space="preserve">PLAN FOR DEVELOPMENT OF DRAFT NEW REPORT </w:t>
            </w:r>
            <w:r w:rsidRPr="005E0923">
              <w:t>ITU-R M.[IMT.ADV.PA</w:t>
            </w:r>
            <w:r>
              <w:t>RAM] AND COORDINATION WITH 3GPP</w:t>
            </w:r>
            <w:r>
              <w:br/>
            </w:r>
            <w:r w:rsidRPr="005E0923">
              <w:t>AND IEEE ON IMT-ADVANCED PARAMETERS</w:t>
            </w:r>
          </w:p>
        </w:tc>
      </w:tr>
    </w:tbl>
    <w:p w:rsidR="00A65CA6" w:rsidRPr="004C7954" w:rsidRDefault="00A65CA6" w:rsidP="00A65CA6">
      <w:pPr>
        <w:pStyle w:val="Heading1"/>
      </w:pPr>
      <w:bookmarkStart w:id="7" w:name="dbreak"/>
      <w:bookmarkEnd w:id="6"/>
      <w:bookmarkEnd w:id="7"/>
      <w:r>
        <w:t>1</w:t>
      </w:r>
      <w:r>
        <w:tab/>
      </w:r>
      <w:r w:rsidRPr="004C7954">
        <w:t>Background</w:t>
      </w:r>
    </w:p>
    <w:p w:rsidR="00A65CA6" w:rsidRPr="004C7954" w:rsidRDefault="00A65CA6" w:rsidP="00A65CA6">
      <w:pPr>
        <w:rPr>
          <w:szCs w:val="24"/>
        </w:rPr>
      </w:pPr>
      <w:r w:rsidRPr="004C7954">
        <w:rPr>
          <w:szCs w:val="24"/>
        </w:rPr>
        <w:t>In support of sharing studies in J</w:t>
      </w:r>
      <w:r>
        <w:rPr>
          <w:szCs w:val="24"/>
        </w:rPr>
        <w:t xml:space="preserve">oint </w:t>
      </w:r>
      <w:r w:rsidRPr="004C7954">
        <w:rPr>
          <w:szCs w:val="24"/>
        </w:rPr>
        <w:t>T</w:t>
      </w:r>
      <w:r>
        <w:rPr>
          <w:szCs w:val="24"/>
        </w:rPr>
        <w:t xml:space="preserve">ask </w:t>
      </w:r>
      <w:r w:rsidRPr="004C7954">
        <w:rPr>
          <w:szCs w:val="24"/>
        </w:rPr>
        <w:t>G</w:t>
      </w:r>
      <w:r>
        <w:rPr>
          <w:szCs w:val="24"/>
        </w:rPr>
        <w:t xml:space="preserve">roup </w:t>
      </w:r>
      <w:r w:rsidRPr="004C7954">
        <w:rPr>
          <w:szCs w:val="24"/>
        </w:rPr>
        <w:t>4-5-6-7 and for other work in W</w:t>
      </w:r>
      <w:r>
        <w:rPr>
          <w:szCs w:val="24"/>
        </w:rPr>
        <w:t xml:space="preserve">orking </w:t>
      </w:r>
      <w:r w:rsidRPr="004C7954">
        <w:rPr>
          <w:szCs w:val="24"/>
        </w:rPr>
        <w:t>P</w:t>
      </w:r>
      <w:r>
        <w:rPr>
          <w:szCs w:val="24"/>
        </w:rPr>
        <w:t>arty</w:t>
      </w:r>
      <w:r w:rsidRPr="004C7954">
        <w:rPr>
          <w:szCs w:val="24"/>
        </w:rPr>
        <w:t xml:space="preserve"> 5D, WP 5D will have to address parameters and other relevant information for the IMT technologies – b</w:t>
      </w:r>
      <w:r>
        <w:rPr>
          <w:szCs w:val="24"/>
        </w:rPr>
        <w:t>oth IMT-2000 and IMT-Advanced.</w:t>
      </w:r>
    </w:p>
    <w:p w:rsidR="00A65CA6" w:rsidRPr="004C7954" w:rsidRDefault="00A65CA6" w:rsidP="00A65CA6">
      <w:r w:rsidRPr="004C7954">
        <w:t>The obligations in this regard to the JTG have two different deadlines:</w:t>
      </w:r>
    </w:p>
    <w:p w:rsidR="00A65CA6" w:rsidRPr="004C7954" w:rsidRDefault="00A65CA6" w:rsidP="00A65CA6">
      <w:pPr>
        <w:pStyle w:val="enumlev1"/>
      </w:pPr>
      <w:r>
        <w:t>–</w:t>
      </w:r>
      <w:r>
        <w:tab/>
        <w:t>for Agenda item 1</w:t>
      </w:r>
      <w:r w:rsidRPr="004C7954">
        <w:t>.2 the</w:t>
      </w:r>
      <w:r>
        <w:t xml:space="preserve"> deadline is “31 December 2012”;</w:t>
      </w:r>
    </w:p>
    <w:p w:rsidR="00A65CA6" w:rsidRPr="004C7954" w:rsidRDefault="00A65CA6" w:rsidP="00A65CA6">
      <w:pPr>
        <w:pStyle w:val="enumlev1"/>
      </w:pPr>
      <w:r>
        <w:t>–</w:t>
      </w:r>
      <w:r>
        <w:tab/>
      </w:r>
      <w:r w:rsidRPr="004C7954">
        <w:t xml:space="preserve">for Agenda item </w:t>
      </w:r>
      <w:r>
        <w:t xml:space="preserve">1.1 </w:t>
      </w:r>
      <w:r w:rsidRPr="004C7954">
        <w:t>the deadline is “preferably by 31 July 2013”</w:t>
      </w:r>
      <w:r>
        <w:t>.</w:t>
      </w:r>
    </w:p>
    <w:p w:rsidR="00A65CA6" w:rsidRPr="004C7954" w:rsidRDefault="00A65CA6" w:rsidP="00A65CA6">
      <w:r w:rsidRPr="004C7954">
        <w:t xml:space="preserve">In particular with regard to Inputs (liaisons) to JTG 4-5-6-7 covering the sharing, compatibility and protection criteria for IMT systems for WRC-15 sharing studies there is existing information available for IMT-2000 terrestrial technologies in Report ITU-R M.2039-2 </w:t>
      </w:r>
      <w:r w:rsidRPr="004C7954">
        <w:rPr>
          <w:i/>
        </w:rPr>
        <w:t>“Characteristics of terrestrial IMT-2000 systems for frequency sharing &amp; interference analyses</w:t>
      </w:r>
      <w:r w:rsidRPr="004C7954">
        <w:t xml:space="preserve">”.  However for the IMT-Advanced terrestrial technologies currently </w:t>
      </w:r>
      <w:r>
        <w:t>no equivalent document exists.</w:t>
      </w:r>
    </w:p>
    <w:p w:rsidR="00A65CA6" w:rsidRPr="004C7954" w:rsidRDefault="00A65CA6" w:rsidP="0007610A">
      <w:r w:rsidRPr="004C7954">
        <w:t>Consequently, Working Party 5D will need to dev</w:t>
      </w:r>
      <w:r>
        <w:t>elop the sharing</w:t>
      </w:r>
      <w:r w:rsidRPr="004C7954">
        <w:t>, compatibility parameters for IMT-Advanced systems based on the final systems specifications for IMT-Advanced as defined in Recommendation ITU-R M.2012 which were approved in the their initial release in January 2012.</w:t>
      </w:r>
    </w:p>
    <w:p w:rsidR="00A65CA6" w:rsidRPr="004C7954" w:rsidRDefault="00A65CA6" w:rsidP="00A65CA6">
      <w:pPr>
        <w:rPr>
          <w:szCs w:val="24"/>
        </w:rPr>
      </w:pPr>
      <w:r w:rsidRPr="004C7954">
        <w:rPr>
          <w:szCs w:val="24"/>
        </w:rPr>
        <w:t>In other inputs to the 13</w:t>
      </w:r>
      <w:r w:rsidRPr="004C7954">
        <w:rPr>
          <w:szCs w:val="24"/>
          <w:vertAlign w:val="superscript"/>
        </w:rPr>
        <w:t>th</w:t>
      </w:r>
      <w:r w:rsidRPr="004C7954">
        <w:rPr>
          <w:szCs w:val="24"/>
        </w:rPr>
        <w:t xml:space="preserve"> meeting of WP 5D, it has been suggested that the document to address such IMT-Advanced parameters should be developed.  It was stated:</w:t>
      </w:r>
    </w:p>
    <w:p w:rsidR="00A65CA6" w:rsidRPr="00A65CA6" w:rsidRDefault="00A65CA6" w:rsidP="0007610A">
      <w:pPr>
        <w:pStyle w:val="enumlev1"/>
        <w:rPr>
          <w:i/>
          <w:iCs/>
        </w:rPr>
      </w:pPr>
      <w:r w:rsidRPr="00A65CA6">
        <w:rPr>
          <w:i/>
          <w:iCs/>
        </w:rPr>
        <w:t>–</w:t>
      </w:r>
      <w:r w:rsidRPr="00A65CA6">
        <w:rPr>
          <w:i/>
          <w:iCs/>
        </w:rPr>
        <w:tab/>
        <w:t>“Taking due consideration of the technical and operational characteristics as well as the understanding of how IMT systems are and will be dep</w:t>
      </w:r>
      <w:r w:rsidR="0007610A">
        <w:rPr>
          <w:i/>
          <w:iCs/>
        </w:rPr>
        <w:t>loyed plus Reports ITU</w:t>
      </w:r>
      <w:r w:rsidR="0007610A">
        <w:rPr>
          <w:i/>
          <w:iCs/>
        </w:rPr>
        <w:noBreakHyphen/>
        <w:t>R </w:t>
      </w:r>
      <w:r>
        <w:rPr>
          <w:i/>
          <w:iCs/>
        </w:rPr>
        <w:t>M.2074 and</w:t>
      </w:r>
      <w:r w:rsidRPr="00A65CA6">
        <w:rPr>
          <w:i/>
          <w:iCs/>
        </w:rPr>
        <w:t xml:space="preserve"> </w:t>
      </w:r>
      <w:r>
        <w:rPr>
          <w:i/>
          <w:iCs/>
        </w:rPr>
        <w:t xml:space="preserve">ITU-R </w:t>
      </w:r>
      <w:r w:rsidRPr="00A65CA6">
        <w:rPr>
          <w:i/>
          <w:iCs/>
        </w:rPr>
        <w:t>M.2079</w:t>
      </w:r>
      <w:r>
        <w:rPr>
          <w:i/>
          <w:iCs/>
        </w:rPr>
        <w:t>,</w:t>
      </w:r>
      <w:r w:rsidRPr="00A65CA6">
        <w:rPr>
          <w:i/>
          <w:iCs/>
        </w:rPr>
        <w:t xml:space="preserve"> and Recommendations ITU-R M.1457 </w:t>
      </w:r>
      <w:r>
        <w:rPr>
          <w:i/>
          <w:iCs/>
        </w:rPr>
        <w:t>and</w:t>
      </w:r>
      <w:r w:rsidRPr="00A65CA6">
        <w:rPr>
          <w:i/>
          <w:iCs/>
        </w:rPr>
        <w:t xml:space="preserve"> </w:t>
      </w:r>
      <w:r w:rsidR="0007610A">
        <w:rPr>
          <w:i/>
          <w:iCs/>
        </w:rPr>
        <w:t>ITU</w:t>
      </w:r>
      <w:r w:rsidR="0007610A">
        <w:rPr>
          <w:i/>
          <w:iCs/>
        </w:rPr>
        <w:noBreakHyphen/>
        <w:t>R </w:t>
      </w:r>
      <w:r w:rsidRPr="00A65CA6">
        <w:rPr>
          <w:i/>
          <w:iCs/>
        </w:rPr>
        <w:t xml:space="preserve">M.2012 and related Recommendations </w:t>
      </w:r>
      <w:r w:rsidR="0007610A">
        <w:rPr>
          <w:i/>
          <w:iCs/>
        </w:rPr>
        <w:t>and</w:t>
      </w:r>
      <w:r w:rsidRPr="00A65CA6">
        <w:rPr>
          <w:i/>
          <w:iCs/>
        </w:rPr>
        <w:t xml:space="preserve"> Reports as well as relevant input contributions create a </w:t>
      </w:r>
      <w:r w:rsidRPr="00A65CA6">
        <w:rPr>
          <w:bCs/>
          <w:i/>
          <w:iCs/>
        </w:rPr>
        <w:t>draft new Report ITU-R M.[IMT.ADV.PARAM]</w:t>
      </w:r>
      <w:r w:rsidRPr="00A65CA6">
        <w:rPr>
          <w:i/>
          <w:iCs/>
        </w:rPr>
        <w:t xml:space="preserve"> covering the sharing, compatibility </w:t>
      </w:r>
      <w:r>
        <w:rPr>
          <w:i/>
          <w:iCs/>
        </w:rPr>
        <w:t>and</w:t>
      </w:r>
      <w:r w:rsidRPr="00A65CA6">
        <w:rPr>
          <w:i/>
          <w:iCs/>
        </w:rPr>
        <w:t xml:space="preserve"> protection criteria for IMT-Advanc</w:t>
      </w:r>
      <w:r>
        <w:rPr>
          <w:i/>
          <w:iCs/>
        </w:rPr>
        <w:t>ed systems for WRC-15 studies.</w:t>
      </w:r>
      <w:r>
        <w:rPr>
          <w:i/>
          <w:iCs/>
        </w:rPr>
        <w:br/>
      </w:r>
      <w:r w:rsidRPr="00A65CA6">
        <w:rPr>
          <w:i/>
          <w:iCs/>
        </w:rPr>
        <w:t>NOTE</w:t>
      </w:r>
      <w:r>
        <w:rPr>
          <w:i/>
          <w:iCs/>
        </w:rPr>
        <w:t xml:space="preserve"> – </w:t>
      </w:r>
      <w:r w:rsidRPr="00A65CA6">
        <w:rPr>
          <w:i/>
          <w:iCs/>
        </w:rPr>
        <w:t xml:space="preserve">IMT-2000 system parameters have been addressed in Report </w:t>
      </w:r>
      <w:r>
        <w:rPr>
          <w:i/>
          <w:iCs/>
        </w:rPr>
        <w:t xml:space="preserve">ITU-R </w:t>
      </w:r>
      <w:r w:rsidRPr="00A65CA6">
        <w:rPr>
          <w:i/>
          <w:iCs/>
        </w:rPr>
        <w:t>M.2039 which might also be considered as a framework format for IMT.ADV.PARAM.”</w:t>
      </w:r>
    </w:p>
    <w:p w:rsidR="00A65CA6" w:rsidRPr="004C7954" w:rsidRDefault="00A65CA6" w:rsidP="00A65CA6">
      <w:r w:rsidRPr="004C7954">
        <w:lastRenderedPageBreak/>
        <w:t xml:space="preserve">In order to develop </w:t>
      </w:r>
      <w:r w:rsidRPr="00A65CA6">
        <w:rPr>
          <w:bCs/>
        </w:rPr>
        <w:t>draft new Report ITU-R M.[IMT.ADV.PARAM],</w:t>
      </w:r>
      <w:r w:rsidRPr="004C7954">
        <w:t xml:space="preserve"> WP 5D will need to liaise with the relevant external organizations 3GPP and  IEEE who address the two technologies in Rec</w:t>
      </w:r>
      <w:r>
        <w:t>ommendation</w:t>
      </w:r>
      <w:r w:rsidRPr="004C7954">
        <w:t xml:space="preserve"> </w:t>
      </w:r>
      <w:r>
        <w:t xml:space="preserve">ITU-R </w:t>
      </w:r>
      <w:r w:rsidRPr="004C7954">
        <w:t>M.2012.</w:t>
      </w:r>
    </w:p>
    <w:p w:rsidR="00A65CA6" w:rsidRPr="004C7954" w:rsidRDefault="00A65CA6" w:rsidP="00A65CA6">
      <w:pPr>
        <w:pStyle w:val="Heading1"/>
      </w:pPr>
      <w:r>
        <w:t>2</w:t>
      </w:r>
      <w:r>
        <w:tab/>
      </w:r>
      <w:r w:rsidRPr="004C7954">
        <w:t>Discussion</w:t>
      </w:r>
    </w:p>
    <w:p w:rsidR="00A65CA6" w:rsidRPr="004C7954" w:rsidRDefault="00A65CA6" w:rsidP="00A65CA6">
      <w:pPr>
        <w:ind w:right="-426"/>
      </w:pPr>
      <w:r w:rsidRPr="004C7954">
        <w:t xml:space="preserve">It is proposed that WP 5D manage the development of </w:t>
      </w:r>
      <w:r w:rsidRPr="00A65CA6">
        <w:rPr>
          <w:bCs/>
        </w:rPr>
        <w:t>draft new Report ITU-R M.[IMT.ADV.PARAM]</w:t>
      </w:r>
      <w:r w:rsidRPr="004C7954">
        <w:t xml:space="preserve"> as follows giving due regard to the schedules and current work programs of 3GPP and IEEE:</w:t>
      </w:r>
    </w:p>
    <w:p w:rsidR="00A65CA6" w:rsidRPr="004C7954" w:rsidRDefault="00A65CA6" w:rsidP="0007610A">
      <w:pPr>
        <w:pStyle w:val="enumlev1"/>
      </w:pPr>
      <w:r>
        <w:t>–</w:t>
      </w:r>
      <w:r>
        <w:tab/>
        <w:t>I</w:t>
      </w:r>
      <w:r w:rsidRPr="004C7954">
        <w:t>n the July 2012 13</w:t>
      </w:r>
      <w:r w:rsidRPr="004C7954">
        <w:rPr>
          <w:vertAlign w:val="superscript"/>
        </w:rPr>
        <w:t>th</w:t>
      </w:r>
      <w:r w:rsidRPr="004C7954">
        <w:t xml:space="preserve"> meeting of WP 5D </w:t>
      </w:r>
      <w:r>
        <w:t xml:space="preserve">start to develop and with continuation </w:t>
      </w:r>
      <w:r w:rsidRPr="004C7954">
        <w:t>at the October 2012 14</w:t>
      </w:r>
      <w:r w:rsidRPr="004C7954">
        <w:rPr>
          <w:vertAlign w:val="superscript"/>
        </w:rPr>
        <w:t>th</w:t>
      </w:r>
      <w:r w:rsidRPr="004C7954">
        <w:t xml:space="preserve"> meeting of WP 5D, develop the framework for the data to be requested from 3GPP </w:t>
      </w:r>
      <w:r w:rsidR="0007610A">
        <w:t>and</w:t>
      </w:r>
      <w:r w:rsidRPr="004C7954">
        <w:t xml:space="preserve"> IEEE looking at </w:t>
      </w:r>
      <w:r>
        <w:t xml:space="preserve">Report ITU-R </w:t>
      </w:r>
      <w:r w:rsidRPr="004C7954">
        <w:t>M.2039 as a possible format model.</w:t>
      </w:r>
    </w:p>
    <w:p w:rsidR="00A65CA6" w:rsidRPr="004C7954" w:rsidRDefault="00A65CA6" w:rsidP="0007610A">
      <w:pPr>
        <w:pStyle w:val="enumlev1"/>
      </w:pPr>
      <w:r>
        <w:t>–</w:t>
      </w:r>
      <w:r>
        <w:tab/>
      </w:r>
      <w:r w:rsidRPr="004C7954">
        <w:t xml:space="preserve">Prepare liaisons to 3GPP </w:t>
      </w:r>
      <w:r w:rsidR="0007610A">
        <w:t>and</w:t>
      </w:r>
      <w:r w:rsidRPr="004C7954">
        <w:t xml:space="preserve"> IEEE and dispatch then from the July </w:t>
      </w:r>
      <w:r>
        <w:t>and/</w:t>
      </w:r>
      <w:r w:rsidRPr="004C7954">
        <w:t>or October meeting of WP 5D as appropriate based on the progress in WP 5D in developing the framework for the data</w:t>
      </w:r>
      <w:r>
        <w:t>.</w:t>
      </w:r>
    </w:p>
    <w:p w:rsidR="00A65CA6" w:rsidRPr="004C7954" w:rsidRDefault="00A65CA6" w:rsidP="00A65CA6">
      <w:pPr>
        <w:pStyle w:val="enumlev1"/>
        <w:ind w:right="-142"/>
      </w:pPr>
      <w:r>
        <w:t>–</w:t>
      </w:r>
      <w:r>
        <w:tab/>
      </w:r>
      <w:r w:rsidRPr="004C7954">
        <w:t>In the liaisons, emphasize that while all the data tables will need to be completed, that the data tables for the UHF frequency range particularly of concern for Agendas i</w:t>
      </w:r>
      <w:r>
        <w:t>tem </w:t>
      </w:r>
      <w:r w:rsidRPr="004C7954">
        <w:t xml:space="preserve">1.2 is especially needed preferably in its final version before </w:t>
      </w:r>
      <w:r>
        <w:t>the 31 December 2012 deadline.</w:t>
      </w:r>
    </w:p>
    <w:p w:rsidR="00A65CA6" w:rsidRPr="004C7954" w:rsidRDefault="00A65CA6" w:rsidP="00A65CA6">
      <w:pPr>
        <w:pStyle w:val="enumlev1"/>
      </w:pPr>
      <w:r>
        <w:t>–</w:t>
      </w:r>
      <w:r>
        <w:tab/>
      </w:r>
      <w:r w:rsidRPr="004C7954">
        <w:t xml:space="preserve">In the liaison, both 3GPP and IEEE should be directly requested to respond to WP 5D and also to copy to JTG 4-5-6-7 with their respective </w:t>
      </w:r>
      <w:r w:rsidRPr="004C7954">
        <w:rPr>
          <w:i/>
          <w:u w:val="single"/>
        </w:rPr>
        <w:t>preliminary responses to the liaison</w:t>
      </w:r>
      <w:r w:rsidRPr="004C7954">
        <w:t xml:space="preserve"> before 31 December 2012 which is the deadline for inputs to JTG, </w:t>
      </w:r>
      <w:r w:rsidRPr="00390C95">
        <w:t>thus meeting deadline for AI 1.2 and</w:t>
      </w:r>
      <w:r w:rsidRPr="004C7954">
        <w:t xml:space="preserve"> providing WP 5D with at least initial information on draft new Report ITU-R M.[IMT.ADV.PARAM].</w:t>
      </w:r>
    </w:p>
    <w:p w:rsidR="00A65CA6" w:rsidRPr="004C7954" w:rsidRDefault="00A65CA6" w:rsidP="00A65CA6">
      <w:pPr>
        <w:pStyle w:val="enumlev1"/>
      </w:pPr>
      <w:r>
        <w:t>–</w:t>
      </w:r>
      <w:r>
        <w:tab/>
      </w:r>
      <w:r w:rsidRPr="004C7954">
        <w:t>WP 5D will consider the preliminary responses for 3GPP and IEEE in its Jan/Feb 2013 meeting #15 and issue a suitable liaison to the JTG from the WP 5D meeting #15</w:t>
      </w:r>
      <w:r>
        <w:t>.</w:t>
      </w:r>
    </w:p>
    <w:p w:rsidR="00A65CA6" w:rsidRPr="004C7954" w:rsidRDefault="00A65CA6" w:rsidP="00A65CA6">
      <w:pPr>
        <w:pStyle w:val="enumlev1"/>
      </w:pPr>
      <w:r>
        <w:t>–</w:t>
      </w:r>
      <w:r>
        <w:tab/>
      </w:r>
      <w:r w:rsidRPr="004C7954">
        <w:t>Note:  it is presumed absent at this time of a published schedule for the JTG in 2013 that the first JTG meeting in 2013 will be scheduled later in 1Q2013.</w:t>
      </w:r>
    </w:p>
    <w:p w:rsidR="00A65CA6" w:rsidRPr="00390C95" w:rsidRDefault="00A65CA6" w:rsidP="001D02DA">
      <w:pPr>
        <w:pStyle w:val="enumlev1"/>
      </w:pPr>
      <w:r>
        <w:t>–</w:t>
      </w:r>
      <w:r>
        <w:tab/>
      </w:r>
      <w:r w:rsidRPr="004C7954">
        <w:t xml:space="preserve">In the same liaison, a </w:t>
      </w:r>
      <w:r w:rsidRPr="004C7954">
        <w:rPr>
          <w:i/>
        </w:rPr>
        <w:t>final response to the liaison</w:t>
      </w:r>
      <w:r w:rsidRPr="004C7954">
        <w:t xml:space="preserve"> is requested to be provided respectively from 3GPP </w:t>
      </w:r>
      <w:r w:rsidR="001D02DA">
        <w:t>and</w:t>
      </w:r>
      <w:r w:rsidRPr="004C7954">
        <w:t xml:space="preserve"> IEEE before the input deadli</w:t>
      </w:r>
      <w:r w:rsidR="001D02DA">
        <w:t>ne for contribution to the July </w:t>
      </w:r>
      <w:r w:rsidRPr="004C7954">
        <w:t xml:space="preserve">2013 WP 5D meeting #16 </w:t>
      </w:r>
      <w:r w:rsidR="001D02DA">
        <w:t>(i.e., by 3 July 2013).</w:t>
      </w:r>
    </w:p>
    <w:p w:rsidR="00A65CA6" w:rsidRPr="00390C95" w:rsidRDefault="00A65CA6" w:rsidP="001D02DA">
      <w:pPr>
        <w:pStyle w:val="enumlev1"/>
      </w:pPr>
      <w:r>
        <w:t>–</w:t>
      </w:r>
      <w:r>
        <w:tab/>
      </w:r>
      <w:r w:rsidRPr="00390C95">
        <w:t xml:space="preserve">WP 5D will then appropriately dispatch another liaison from WP 5D meeting #16 to the JTG on the parameters, thus both updating info for AI 1.2 (if required) and also then meeting the deadline for AI 1.1 to </w:t>
      </w:r>
      <w:r w:rsidR="001D02DA">
        <w:t xml:space="preserve">the </w:t>
      </w:r>
      <w:r w:rsidRPr="00390C95">
        <w:t>JTG)</w:t>
      </w:r>
      <w:r w:rsidR="001D02DA">
        <w:t>.</w:t>
      </w:r>
    </w:p>
    <w:p w:rsidR="00A65CA6" w:rsidRDefault="00A65CA6" w:rsidP="001D02DA">
      <w:r w:rsidRPr="004C7954">
        <w:t xml:space="preserve">A check has been performed of the relationship of the </w:t>
      </w:r>
      <w:r>
        <w:t xml:space="preserve">meeting dates amongst WP 5D, </w:t>
      </w:r>
      <w:r w:rsidRPr="004C7954">
        <w:t xml:space="preserve">3GPP and IEEE in the relevant timeframe and </w:t>
      </w:r>
      <w:r>
        <w:t xml:space="preserve">it appears that </w:t>
      </w:r>
      <w:r w:rsidRPr="004C7954">
        <w:t>this plan can coordinate across the organizations as indicated below:</w:t>
      </w:r>
    </w:p>
    <w:p w:rsidR="001D02DA" w:rsidRPr="004C7954" w:rsidRDefault="001D02DA" w:rsidP="001D02DA"/>
    <w:p w:rsidR="001D02DA" w:rsidRDefault="001D02DA">
      <w:pPr>
        <w:tabs>
          <w:tab w:val="clear" w:pos="1134"/>
          <w:tab w:val="clear" w:pos="1871"/>
          <w:tab w:val="clear" w:pos="2268"/>
        </w:tabs>
        <w:overflowPunct/>
        <w:autoSpaceDE/>
        <w:autoSpaceDN/>
        <w:adjustRightInd/>
        <w:spacing w:before="0"/>
        <w:textAlignment w:val="auto"/>
        <w:rPr>
          <w:caps/>
          <w:sz w:val="20"/>
        </w:rPr>
      </w:pPr>
      <w:r>
        <w:br w:type="page"/>
      </w:r>
    </w:p>
    <w:p w:rsidR="001D02DA" w:rsidRDefault="001D02DA" w:rsidP="001D02DA">
      <w:pPr>
        <w:pStyle w:val="TableNo"/>
      </w:pPr>
      <w:r>
        <w:lastRenderedPageBreak/>
        <w:t>TABLE 1</w:t>
      </w:r>
    </w:p>
    <w:p w:rsidR="00A65CA6" w:rsidRPr="00A94C6C" w:rsidRDefault="00A65CA6" w:rsidP="001D02DA">
      <w:pPr>
        <w:pStyle w:val="Tabletitle"/>
      </w:pPr>
      <w:r w:rsidRPr="00A94C6C">
        <w:t xml:space="preserve">Meeting </w:t>
      </w:r>
      <w:r w:rsidR="0007610A" w:rsidRPr="00A94C6C">
        <w:t>d</w:t>
      </w:r>
      <w:r w:rsidRPr="00A94C6C">
        <w:t xml:space="preserve">ate </w:t>
      </w:r>
      <w:r w:rsidR="0007610A" w:rsidRPr="00A94C6C">
        <w:t>r</w:t>
      </w:r>
      <w:r w:rsidRPr="00A94C6C">
        <w:t>elationships for WP 5D, 3GPP, &amp; IEEE  through mid-2013</w:t>
      </w:r>
    </w:p>
    <w:tbl>
      <w:tblPr>
        <w:tblW w:w="941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494"/>
        <w:gridCol w:w="545"/>
        <w:gridCol w:w="1229"/>
        <w:gridCol w:w="1358"/>
        <w:gridCol w:w="259"/>
        <w:gridCol w:w="2372"/>
        <w:gridCol w:w="2153"/>
      </w:tblGrid>
      <w:tr w:rsidR="00A65CA6" w:rsidRPr="001D02DA" w:rsidTr="00BE64E2">
        <w:trPr>
          <w:tblHeader/>
          <w:tblCellSpacing w:w="0" w:type="dxa"/>
          <w:jc w:val="center"/>
        </w:trPr>
        <w:tc>
          <w:tcPr>
            <w:tcW w:w="1494" w:type="dxa"/>
            <w:shd w:val="clear" w:color="auto" w:fill="C0C0C0"/>
          </w:tcPr>
          <w:p w:rsidR="00A65CA6" w:rsidRPr="001D02DA" w:rsidRDefault="00A65CA6" w:rsidP="00BE64E2">
            <w:pPr>
              <w:pStyle w:val="Tablehead"/>
            </w:pPr>
            <w:r w:rsidRPr="001D02DA">
              <w:t>ITU-R</w:t>
            </w:r>
            <w:r w:rsidR="00BE64E2">
              <w:br/>
            </w:r>
            <w:r w:rsidRPr="001D02DA">
              <w:t>G</w:t>
            </w:r>
            <w:r w:rsidR="001D02DA" w:rsidRPr="001D02DA">
              <w:t>roup</w:t>
            </w:r>
          </w:p>
        </w:tc>
        <w:tc>
          <w:tcPr>
            <w:tcW w:w="545" w:type="dxa"/>
            <w:shd w:val="clear" w:color="auto" w:fill="C0C0C0"/>
          </w:tcPr>
          <w:p w:rsidR="00A65CA6" w:rsidRPr="001D02DA" w:rsidRDefault="00A65CA6" w:rsidP="001D02DA">
            <w:pPr>
              <w:pStyle w:val="Tablehead"/>
            </w:pPr>
            <w:r w:rsidRPr="001D02DA">
              <w:t>No.</w:t>
            </w:r>
          </w:p>
        </w:tc>
        <w:tc>
          <w:tcPr>
            <w:tcW w:w="1229" w:type="dxa"/>
            <w:shd w:val="clear" w:color="auto" w:fill="C0C0C0"/>
          </w:tcPr>
          <w:p w:rsidR="00A65CA6" w:rsidRPr="001D02DA" w:rsidRDefault="00A65CA6" w:rsidP="00BE64E2">
            <w:pPr>
              <w:pStyle w:val="Tablehead"/>
            </w:pPr>
            <w:r w:rsidRPr="001D02DA">
              <w:t>S</w:t>
            </w:r>
            <w:r w:rsidR="001D02DA" w:rsidRPr="001D02DA">
              <w:t>tart</w:t>
            </w:r>
            <w:r w:rsidR="00BE64E2">
              <w:br/>
            </w:r>
            <w:r w:rsidRPr="001D02DA">
              <w:t>(planned)</w:t>
            </w:r>
          </w:p>
        </w:tc>
        <w:tc>
          <w:tcPr>
            <w:tcW w:w="1358" w:type="dxa"/>
            <w:shd w:val="clear" w:color="auto" w:fill="C0C0C0"/>
          </w:tcPr>
          <w:p w:rsidR="00A65CA6" w:rsidRPr="001D02DA" w:rsidRDefault="00A65CA6" w:rsidP="00BE64E2">
            <w:pPr>
              <w:pStyle w:val="Tablehead"/>
            </w:pPr>
            <w:r w:rsidRPr="001D02DA">
              <w:t>S</w:t>
            </w:r>
            <w:r w:rsidR="001D02DA" w:rsidRPr="001D02DA">
              <w:t>top</w:t>
            </w:r>
            <w:r w:rsidR="00BE64E2">
              <w:br/>
            </w:r>
            <w:r w:rsidRPr="001D02DA">
              <w:t>(planned)</w:t>
            </w:r>
          </w:p>
        </w:tc>
        <w:tc>
          <w:tcPr>
            <w:tcW w:w="259" w:type="dxa"/>
            <w:shd w:val="clear" w:color="auto" w:fill="C0C0C0"/>
          </w:tcPr>
          <w:p w:rsidR="00A65CA6" w:rsidRPr="001D02DA" w:rsidRDefault="00A65CA6" w:rsidP="001D02DA">
            <w:pPr>
              <w:pStyle w:val="Tablehead"/>
            </w:pPr>
          </w:p>
        </w:tc>
        <w:tc>
          <w:tcPr>
            <w:tcW w:w="2372" w:type="dxa"/>
            <w:shd w:val="clear" w:color="auto" w:fill="C0C0C0"/>
          </w:tcPr>
          <w:p w:rsidR="00A65CA6" w:rsidRPr="001D02DA" w:rsidRDefault="00A65CA6" w:rsidP="00BE64E2">
            <w:pPr>
              <w:pStyle w:val="Tablehead"/>
            </w:pPr>
            <w:r w:rsidRPr="001D02DA">
              <w:t>3GPP RAN</w:t>
            </w:r>
            <w:r w:rsidR="00BE64E2">
              <w:t xml:space="preserve"> </w:t>
            </w:r>
            <w:r w:rsidRPr="001D02DA">
              <w:t>M</w:t>
            </w:r>
            <w:r w:rsidR="001D02DA" w:rsidRPr="001D02DA">
              <w:t>eeting</w:t>
            </w:r>
            <w:r w:rsidR="00BE64E2">
              <w:br/>
              <w:t>(planned)</w:t>
            </w:r>
          </w:p>
        </w:tc>
        <w:tc>
          <w:tcPr>
            <w:tcW w:w="2153" w:type="dxa"/>
            <w:shd w:val="clear" w:color="auto" w:fill="C0C0C0"/>
          </w:tcPr>
          <w:p w:rsidR="00A65CA6" w:rsidRPr="001D02DA" w:rsidRDefault="00A65CA6" w:rsidP="00BE64E2">
            <w:pPr>
              <w:pStyle w:val="Tablehead"/>
            </w:pPr>
            <w:r w:rsidRPr="001D02DA">
              <w:t>IEEE 802.16</w:t>
            </w:r>
            <w:r w:rsidR="00BE64E2">
              <w:t xml:space="preserve"> </w:t>
            </w:r>
            <w:r w:rsidRPr="001D02DA">
              <w:t>M</w:t>
            </w:r>
            <w:r w:rsidR="001D02DA" w:rsidRPr="001D02DA">
              <w:t>eeting</w:t>
            </w:r>
            <w:r w:rsidR="00BE64E2">
              <w:br/>
            </w:r>
            <w:r w:rsidRPr="001D02DA">
              <w:t>(planned)</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
                <w:bCs/>
                <w:sz w:val="20"/>
              </w:rPr>
            </w:pPr>
            <w:r w:rsidRPr="00A94C6C">
              <w:rPr>
                <w:b/>
                <w:bCs/>
                <w:sz w:val="20"/>
              </w:rPr>
              <w:t>WP 5D</w:t>
            </w:r>
          </w:p>
        </w:tc>
        <w:tc>
          <w:tcPr>
            <w:tcW w:w="545"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13</w:t>
            </w:r>
          </w:p>
        </w:tc>
        <w:tc>
          <w:tcPr>
            <w:tcW w:w="1229"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16 July 12</w:t>
            </w:r>
          </w:p>
        </w:tc>
        <w:tc>
          <w:tcPr>
            <w:tcW w:w="1358"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20 July 12</w:t>
            </w: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16-19 July 12</w:t>
            </w:r>
            <w:r w:rsidRPr="00A94C6C">
              <w:rPr>
                <w:bCs/>
                <w:sz w:val="20"/>
              </w:rPr>
              <w:br/>
              <w:t>Session #80</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r w:rsidRPr="00A94C6C">
              <w:rPr>
                <w:bCs/>
                <w:sz w:val="20"/>
              </w:rPr>
              <w:t>JTG 4-5-6-7</w:t>
            </w:r>
          </w:p>
        </w:tc>
        <w:tc>
          <w:tcPr>
            <w:tcW w:w="545"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1</w:t>
            </w:r>
          </w:p>
        </w:tc>
        <w:tc>
          <w:tcPr>
            <w:tcW w:w="1229"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23 July 12</w:t>
            </w:r>
          </w:p>
        </w:tc>
        <w:tc>
          <w:tcPr>
            <w:tcW w:w="1358"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27 July 12</w:t>
            </w: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13-17 Aug 12</w:t>
            </w:r>
          </w:p>
          <w:p w:rsidR="00A65CA6" w:rsidRPr="00A94C6C" w:rsidRDefault="00A65CA6" w:rsidP="00A65CA6">
            <w:pPr>
              <w:spacing w:before="40" w:after="40"/>
              <w:jc w:val="center"/>
              <w:rPr>
                <w:color w:val="000000"/>
                <w:sz w:val="20"/>
              </w:rPr>
            </w:pPr>
            <w:r w:rsidRPr="00A94C6C">
              <w:rPr>
                <w:bCs/>
                <w:i/>
                <w:sz w:val="20"/>
              </w:rPr>
              <w:t>WGs</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4-7 Sept 12</w:t>
            </w:r>
          </w:p>
          <w:p w:rsidR="00A65CA6" w:rsidRPr="00A94C6C" w:rsidRDefault="00A65CA6" w:rsidP="00A65CA6">
            <w:pPr>
              <w:spacing w:before="40" w:after="40"/>
              <w:jc w:val="center"/>
              <w:rPr>
                <w:color w:val="000000"/>
                <w:sz w:val="20"/>
              </w:rPr>
            </w:pPr>
            <w:r w:rsidRPr="00A94C6C">
              <w:rPr>
                <w:bCs/>
                <w:i/>
                <w:sz w:val="20"/>
              </w:rPr>
              <w:t>Plenary #57</w:t>
            </w: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17-20 Sept 12</w:t>
            </w:r>
            <w:r w:rsidRPr="00A94C6C">
              <w:rPr>
                <w:bCs/>
                <w:sz w:val="20"/>
              </w:rPr>
              <w:br/>
              <w:t>Session #81</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
                <w:bCs/>
                <w:sz w:val="20"/>
              </w:rPr>
            </w:pPr>
            <w:r w:rsidRPr="00A94C6C">
              <w:rPr>
                <w:b/>
                <w:bCs/>
                <w:sz w:val="20"/>
              </w:rPr>
              <w:t>WP 5D</w:t>
            </w:r>
          </w:p>
        </w:tc>
        <w:tc>
          <w:tcPr>
            <w:tcW w:w="545"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14</w:t>
            </w:r>
          </w:p>
        </w:tc>
        <w:tc>
          <w:tcPr>
            <w:tcW w:w="1229"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3 Oct. 12</w:t>
            </w:r>
          </w:p>
        </w:tc>
        <w:tc>
          <w:tcPr>
            <w:tcW w:w="1358"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11 Oct. 12</w:t>
            </w: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8-12 Oct 12</w:t>
            </w:r>
          </w:p>
          <w:p w:rsidR="00A65CA6" w:rsidRPr="00A94C6C" w:rsidRDefault="00A65CA6" w:rsidP="00A65CA6">
            <w:pPr>
              <w:spacing w:before="40" w:after="40"/>
              <w:jc w:val="center"/>
              <w:rPr>
                <w:color w:val="000000"/>
                <w:sz w:val="20"/>
              </w:rPr>
            </w:pPr>
            <w:r w:rsidRPr="00A94C6C">
              <w:rPr>
                <w:bCs/>
                <w:i/>
                <w:sz w:val="20"/>
              </w:rPr>
              <w:t>WGs</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12-16 Nov  12</w:t>
            </w:r>
          </w:p>
          <w:p w:rsidR="00A65CA6" w:rsidRPr="00A94C6C" w:rsidRDefault="00A65CA6" w:rsidP="00A65CA6">
            <w:pPr>
              <w:spacing w:before="40" w:after="40"/>
              <w:jc w:val="center"/>
              <w:rPr>
                <w:color w:val="000000"/>
                <w:sz w:val="20"/>
              </w:rPr>
            </w:pPr>
            <w:r w:rsidRPr="00A94C6C">
              <w:rPr>
                <w:bCs/>
                <w:i/>
                <w:sz w:val="20"/>
              </w:rPr>
              <w:t>WGs</w:t>
            </w: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12-15 Nov 12</w:t>
            </w:r>
            <w:r w:rsidRPr="00A94C6C">
              <w:rPr>
                <w:bCs/>
                <w:sz w:val="20"/>
              </w:rPr>
              <w:br/>
              <w:t>Session #82</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r w:rsidRPr="00A94C6C">
              <w:rPr>
                <w:bCs/>
                <w:sz w:val="20"/>
              </w:rPr>
              <w:t>Study Group 5</w:t>
            </w:r>
          </w:p>
        </w:tc>
        <w:tc>
          <w:tcPr>
            <w:tcW w:w="545"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w:t>
            </w:r>
          </w:p>
        </w:tc>
        <w:tc>
          <w:tcPr>
            <w:tcW w:w="1229"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19 Nov 12</w:t>
            </w:r>
          </w:p>
        </w:tc>
        <w:tc>
          <w:tcPr>
            <w:tcW w:w="1358"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20 Nov 12</w:t>
            </w: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r w:rsidRPr="00A94C6C">
              <w:rPr>
                <w:bCs/>
                <w:sz w:val="20"/>
              </w:rPr>
              <w:t>JTG 4-5-6-7</w:t>
            </w:r>
          </w:p>
        </w:tc>
        <w:tc>
          <w:tcPr>
            <w:tcW w:w="545"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2</w:t>
            </w:r>
          </w:p>
        </w:tc>
        <w:tc>
          <w:tcPr>
            <w:tcW w:w="1229"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21 Nov 12</w:t>
            </w:r>
          </w:p>
        </w:tc>
        <w:tc>
          <w:tcPr>
            <w:tcW w:w="1358" w:type="dxa"/>
            <w:shd w:val="clear" w:color="auto" w:fill="FFFFFF"/>
          </w:tcPr>
          <w:p w:rsidR="00A65CA6" w:rsidRPr="00A94C6C" w:rsidRDefault="00A65CA6" w:rsidP="00A65CA6">
            <w:pPr>
              <w:spacing w:before="40" w:after="40"/>
              <w:jc w:val="center"/>
              <w:rPr>
                <w:bCs/>
                <w:color w:val="000000"/>
                <w:sz w:val="20"/>
              </w:rPr>
            </w:pPr>
            <w:r w:rsidRPr="00A94C6C">
              <w:rPr>
                <w:bCs/>
                <w:color w:val="000000"/>
                <w:sz w:val="20"/>
              </w:rPr>
              <w:t>28 Nov 12</w:t>
            </w: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highlight w:val="yellow"/>
              </w:rPr>
            </w:pPr>
          </w:p>
        </w:tc>
        <w:tc>
          <w:tcPr>
            <w:tcW w:w="1358" w:type="dxa"/>
            <w:shd w:val="clear" w:color="auto" w:fill="FFFFFF"/>
          </w:tcPr>
          <w:p w:rsidR="00A65CA6" w:rsidRPr="00A94C6C" w:rsidRDefault="00A65CA6" w:rsidP="00A65CA6">
            <w:pPr>
              <w:spacing w:before="40" w:after="40"/>
              <w:jc w:val="center"/>
              <w:rPr>
                <w:bCs/>
                <w:color w:val="000000"/>
                <w:sz w:val="20"/>
                <w:highlight w:val="yellow"/>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4-7 Dec 12</w:t>
            </w:r>
          </w:p>
          <w:p w:rsidR="00A65CA6" w:rsidRPr="00A94C6C" w:rsidRDefault="00A65CA6" w:rsidP="00A65CA6">
            <w:pPr>
              <w:spacing w:before="40" w:after="40"/>
              <w:jc w:val="center"/>
              <w:rPr>
                <w:color w:val="000000"/>
                <w:sz w:val="20"/>
              </w:rPr>
            </w:pPr>
            <w:r w:rsidRPr="00A94C6C">
              <w:rPr>
                <w:bCs/>
                <w:i/>
                <w:sz w:val="20"/>
              </w:rPr>
              <w:t>Plenary #58</w:t>
            </w:r>
          </w:p>
        </w:tc>
        <w:tc>
          <w:tcPr>
            <w:tcW w:w="2153" w:type="dxa"/>
            <w:shd w:val="clear" w:color="auto" w:fill="FFFFFF"/>
          </w:tcPr>
          <w:p w:rsidR="00A65CA6" w:rsidRPr="00A94C6C" w:rsidRDefault="00A65CA6" w:rsidP="00A65CA6">
            <w:pPr>
              <w:spacing w:before="40" w:after="40"/>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highlight w:val="yellow"/>
              </w:rPr>
            </w:pPr>
          </w:p>
        </w:tc>
        <w:tc>
          <w:tcPr>
            <w:tcW w:w="1358" w:type="dxa"/>
            <w:shd w:val="clear" w:color="auto" w:fill="FFFFFF"/>
          </w:tcPr>
          <w:p w:rsidR="00A65CA6" w:rsidRPr="00A94C6C" w:rsidRDefault="00A65CA6" w:rsidP="00A65CA6">
            <w:pPr>
              <w:spacing w:before="40" w:after="40"/>
              <w:jc w:val="center"/>
              <w:rPr>
                <w:bCs/>
                <w:color w:val="000000"/>
                <w:sz w:val="20"/>
                <w:highlight w:val="yellow"/>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14-17 Jan 13</w:t>
            </w:r>
            <w:r w:rsidRPr="00A94C6C">
              <w:rPr>
                <w:bCs/>
                <w:sz w:val="20"/>
              </w:rPr>
              <w:br/>
              <w:t>Session #83</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
                <w:bCs/>
                <w:sz w:val="20"/>
              </w:rPr>
            </w:pPr>
            <w:r w:rsidRPr="00A94C6C">
              <w:rPr>
                <w:b/>
                <w:bCs/>
                <w:sz w:val="20"/>
              </w:rPr>
              <w:t>WP 5D</w:t>
            </w:r>
          </w:p>
        </w:tc>
        <w:tc>
          <w:tcPr>
            <w:tcW w:w="545"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15</w:t>
            </w:r>
          </w:p>
        </w:tc>
        <w:tc>
          <w:tcPr>
            <w:tcW w:w="1229" w:type="dxa"/>
            <w:shd w:val="clear" w:color="auto" w:fill="FFFFFF"/>
          </w:tcPr>
          <w:p w:rsidR="00A65CA6" w:rsidRPr="00A94C6C" w:rsidRDefault="00A65CA6" w:rsidP="00A65CA6">
            <w:pPr>
              <w:spacing w:before="40" w:after="40"/>
              <w:jc w:val="center"/>
              <w:rPr>
                <w:b/>
                <w:bCs/>
                <w:color w:val="000000"/>
                <w:sz w:val="20"/>
                <w:highlight w:val="yellow"/>
              </w:rPr>
            </w:pPr>
            <w:r w:rsidRPr="00A94C6C">
              <w:rPr>
                <w:b/>
                <w:bCs/>
                <w:color w:val="000000"/>
                <w:sz w:val="20"/>
                <w:highlight w:val="yellow"/>
              </w:rPr>
              <w:t>30 Jan 13</w:t>
            </w:r>
          </w:p>
          <w:p w:rsidR="00A65CA6" w:rsidRPr="00A94C6C" w:rsidRDefault="00A65CA6" w:rsidP="00A65CA6">
            <w:pPr>
              <w:spacing w:before="40" w:after="40"/>
              <w:jc w:val="center"/>
              <w:rPr>
                <w:b/>
                <w:bCs/>
                <w:strike/>
                <w:color w:val="000000"/>
                <w:sz w:val="20"/>
                <w:highlight w:val="yellow"/>
              </w:rPr>
            </w:pPr>
            <w:r w:rsidRPr="00A94C6C">
              <w:rPr>
                <w:b/>
                <w:bCs/>
                <w:strike/>
                <w:color w:val="000000"/>
                <w:sz w:val="20"/>
                <w:highlight w:val="yellow"/>
              </w:rPr>
              <w:t>6 Feb. 13</w:t>
            </w:r>
          </w:p>
        </w:tc>
        <w:tc>
          <w:tcPr>
            <w:tcW w:w="1358" w:type="dxa"/>
            <w:shd w:val="clear" w:color="auto" w:fill="FFFFFF"/>
          </w:tcPr>
          <w:p w:rsidR="00A65CA6" w:rsidRPr="00A94C6C" w:rsidRDefault="00A65CA6" w:rsidP="00A65CA6">
            <w:pPr>
              <w:spacing w:before="40" w:after="40"/>
              <w:jc w:val="center"/>
              <w:rPr>
                <w:b/>
                <w:bCs/>
                <w:color w:val="000000"/>
                <w:sz w:val="20"/>
                <w:highlight w:val="yellow"/>
              </w:rPr>
            </w:pPr>
            <w:r w:rsidRPr="00A94C6C">
              <w:rPr>
                <w:b/>
                <w:bCs/>
                <w:color w:val="000000"/>
                <w:sz w:val="20"/>
                <w:highlight w:val="yellow"/>
              </w:rPr>
              <w:t>6 Feb 13</w:t>
            </w:r>
          </w:p>
          <w:p w:rsidR="00A65CA6" w:rsidRPr="00A94C6C" w:rsidRDefault="00A65CA6" w:rsidP="00A65CA6">
            <w:pPr>
              <w:spacing w:before="40" w:after="40"/>
              <w:jc w:val="center"/>
              <w:rPr>
                <w:b/>
                <w:bCs/>
                <w:strike/>
                <w:color w:val="000000"/>
                <w:sz w:val="20"/>
                <w:highlight w:val="yellow"/>
              </w:rPr>
            </w:pPr>
            <w:r w:rsidRPr="00A94C6C">
              <w:rPr>
                <w:b/>
                <w:bCs/>
                <w:strike/>
                <w:color w:val="000000"/>
                <w:sz w:val="20"/>
                <w:highlight w:val="yellow"/>
              </w:rPr>
              <w:t>13 Feb. 13</w:t>
            </w: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28 Jan – 1 Feb 13</w:t>
            </w:r>
          </w:p>
          <w:p w:rsidR="00A65CA6" w:rsidRPr="00A94C6C" w:rsidRDefault="00A65CA6" w:rsidP="00A65CA6">
            <w:pPr>
              <w:spacing w:before="40" w:after="40"/>
              <w:jc w:val="center"/>
              <w:rPr>
                <w:color w:val="000000"/>
                <w:sz w:val="20"/>
              </w:rPr>
            </w:pPr>
            <w:r w:rsidRPr="00A94C6C">
              <w:rPr>
                <w:bCs/>
                <w:i/>
                <w:sz w:val="20"/>
              </w:rPr>
              <w:t>WGs</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26 Feb – 1 Mar 13</w:t>
            </w:r>
          </w:p>
          <w:p w:rsidR="00A65CA6" w:rsidRPr="00A94C6C" w:rsidRDefault="00A65CA6" w:rsidP="00A65CA6">
            <w:pPr>
              <w:spacing w:before="40" w:after="40"/>
              <w:jc w:val="center"/>
              <w:rPr>
                <w:color w:val="000000"/>
                <w:sz w:val="20"/>
              </w:rPr>
            </w:pPr>
            <w:r w:rsidRPr="00A94C6C">
              <w:rPr>
                <w:bCs/>
                <w:i/>
                <w:sz w:val="20"/>
              </w:rPr>
              <w:t>Plenary #59</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18-21 Mar 13</w:t>
            </w:r>
            <w:r w:rsidRPr="00A94C6C">
              <w:rPr>
                <w:bCs/>
                <w:sz w:val="20"/>
              </w:rPr>
              <w:br/>
              <w:t>Session #84</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15-19 Apr 13</w:t>
            </w:r>
          </w:p>
          <w:p w:rsidR="00A65CA6" w:rsidRPr="00A94C6C" w:rsidRDefault="00A65CA6" w:rsidP="00A65CA6">
            <w:pPr>
              <w:spacing w:before="40" w:after="40"/>
              <w:jc w:val="center"/>
              <w:rPr>
                <w:color w:val="000000"/>
                <w:sz w:val="20"/>
              </w:rPr>
            </w:pPr>
            <w:r w:rsidRPr="00A94C6C">
              <w:rPr>
                <w:bCs/>
                <w:i/>
                <w:sz w:val="20"/>
              </w:rPr>
              <w:t>WGs</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13-16 May 13</w:t>
            </w:r>
            <w:r w:rsidRPr="00A94C6C">
              <w:rPr>
                <w:bCs/>
                <w:sz w:val="20"/>
              </w:rPr>
              <w:br/>
              <w:t>Session #85</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20-24 May 13</w:t>
            </w:r>
          </w:p>
          <w:p w:rsidR="00A65CA6" w:rsidRPr="00A94C6C" w:rsidRDefault="00A65CA6" w:rsidP="00A65CA6">
            <w:pPr>
              <w:spacing w:before="40" w:after="40"/>
              <w:jc w:val="center"/>
              <w:rPr>
                <w:color w:val="000000"/>
                <w:sz w:val="20"/>
              </w:rPr>
            </w:pPr>
            <w:r w:rsidRPr="00A94C6C">
              <w:rPr>
                <w:bCs/>
                <w:i/>
                <w:sz w:val="20"/>
              </w:rPr>
              <w:t>WGs</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r w:rsidRPr="00A94C6C">
              <w:rPr>
                <w:color w:val="000000"/>
                <w:sz w:val="20"/>
              </w:rPr>
              <w:t>11-14 Jun 13</w:t>
            </w:r>
          </w:p>
          <w:p w:rsidR="00A65CA6" w:rsidRPr="00A94C6C" w:rsidRDefault="00A65CA6" w:rsidP="00A65CA6">
            <w:pPr>
              <w:spacing w:before="40" w:after="40"/>
              <w:jc w:val="center"/>
              <w:rPr>
                <w:color w:val="000000"/>
                <w:sz w:val="20"/>
              </w:rPr>
            </w:pPr>
            <w:r w:rsidRPr="00A94C6C">
              <w:rPr>
                <w:bCs/>
                <w:i/>
                <w:sz w:val="20"/>
              </w:rPr>
              <w:t>Plenary #60</w:t>
            </w:r>
          </w:p>
        </w:tc>
        <w:tc>
          <w:tcPr>
            <w:tcW w:w="2153" w:type="dxa"/>
            <w:shd w:val="clear" w:color="auto" w:fill="FFFFFF"/>
          </w:tcPr>
          <w:p w:rsidR="00A65CA6" w:rsidRPr="00A94C6C" w:rsidRDefault="00A65CA6" w:rsidP="00A65CA6">
            <w:pPr>
              <w:spacing w:before="40" w:after="40"/>
              <w:ind w:left="37"/>
              <w:jc w:val="center"/>
              <w:rPr>
                <w:bCs/>
                <w:sz w:val="20"/>
              </w:rPr>
            </w:pP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Cs/>
                <w:sz w:val="20"/>
              </w:rPr>
            </w:pPr>
          </w:p>
        </w:tc>
        <w:tc>
          <w:tcPr>
            <w:tcW w:w="545" w:type="dxa"/>
            <w:shd w:val="clear" w:color="auto" w:fill="FFFFFF"/>
          </w:tcPr>
          <w:p w:rsidR="00A65CA6" w:rsidRPr="00A94C6C" w:rsidRDefault="00A65CA6" w:rsidP="00A65CA6">
            <w:pPr>
              <w:spacing w:before="40" w:after="40"/>
              <w:jc w:val="center"/>
              <w:rPr>
                <w:bCs/>
                <w:color w:val="000000"/>
                <w:sz w:val="20"/>
              </w:rPr>
            </w:pPr>
          </w:p>
        </w:tc>
        <w:tc>
          <w:tcPr>
            <w:tcW w:w="1229" w:type="dxa"/>
            <w:shd w:val="clear" w:color="auto" w:fill="FFFFFF"/>
          </w:tcPr>
          <w:p w:rsidR="00A65CA6" w:rsidRPr="00A94C6C" w:rsidRDefault="00A65CA6" w:rsidP="00A65CA6">
            <w:pPr>
              <w:spacing w:before="40" w:after="40"/>
              <w:jc w:val="center"/>
              <w:rPr>
                <w:bCs/>
                <w:color w:val="000000"/>
                <w:sz w:val="20"/>
              </w:rPr>
            </w:pPr>
          </w:p>
        </w:tc>
        <w:tc>
          <w:tcPr>
            <w:tcW w:w="1358" w:type="dxa"/>
            <w:shd w:val="clear" w:color="auto" w:fill="FFFFFF"/>
          </w:tcPr>
          <w:p w:rsidR="00A65CA6" w:rsidRPr="00A94C6C" w:rsidRDefault="00A65CA6" w:rsidP="00A65CA6">
            <w:pPr>
              <w:spacing w:before="40" w:after="40"/>
              <w:jc w:val="center"/>
              <w:rPr>
                <w:bCs/>
                <w:color w:val="000000"/>
                <w:sz w:val="20"/>
              </w:rPr>
            </w:pPr>
          </w:p>
        </w:tc>
        <w:tc>
          <w:tcPr>
            <w:tcW w:w="259" w:type="dxa"/>
            <w:shd w:val="clear" w:color="auto" w:fill="FFFFFF"/>
          </w:tcPr>
          <w:p w:rsidR="00A65CA6" w:rsidRPr="00A94C6C" w:rsidRDefault="00A65CA6" w:rsidP="00A65CA6">
            <w:pPr>
              <w:spacing w:before="40" w:after="40"/>
              <w:jc w:val="center"/>
              <w:rPr>
                <w:color w:val="000000"/>
                <w:sz w:val="20"/>
              </w:rPr>
            </w:pPr>
          </w:p>
        </w:tc>
        <w:tc>
          <w:tcPr>
            <w:tcW w:w="2372" w:type="dxa"/>
            <w:shd w:val="clear" w:color="auto" w:fill="FFFFFF"/>
          </w:tcPr>
          <w:p w:rsidR="00A65CA6" w:rsidRPr="00A94C6C" w:rsidRDefault="00A65CA6" w:rsidP="00A65CA6">
            <w:pPr>
              <w:spacing w:before="40" w:after="40"/>
              <w:jc w:val="center"/>
              <w:rPr>
                <w:color w:val="000000"/>
                <w:sz w:val="20"/>
              </w:rPr>
            </w:pPr>
          </w:p>
        </w:tc>
        <w:tc>
          <w:tcPr>
            <w:tcW w:w="2153" w:type="dxa"/>
            <w:shd w:val="clear" w:color="auto" w:fill="FFFFFF"/>
          </w:tcPr>
          <w:p w:rsidR="00A65CA6" w:rsidRPr="00A94C6C" w:rsidRDefault="00A65CA6" w:rsidP="00A65CA6">
            <w:pPr>
              <w:spacing w:before="40" w:after="40"/>
              <w:ind w:left="37"/>
              <w:jc w:val="center"/>
              <w:rPr>
                <w:bCs/>
                <w:sz w:val="20"/>
              </w:rPr>
            </w:pPr>
            <w:r w:rsidRPr="00A94C6C">
              <w:rPr>
                <w:bCs/>
                <w:sz w:val="20"/>
              </w:rPr>
              <w:t>15-18 July 13</w:t>
            </w:r>
            <w:r w:rsidRPr="00A94C6C">
              <w:rPr>
                <w:bCs/>
                <w:sz w:val="20"/>
              </w:rPr>
              <w:br/>
              <w:t>Session #86</w:t>
            </w:r>
          </w:p>
        </w:tc>
      </w:tr>
      <w:tr w:rsidR="00A65CA6" w:rsidRPr="00A94C6C" w:rsidTr="00BE64E2">
        <w:trPr>
          <w:tblCellSpacing w:w="0" w:type="dxa"/>
          <w:jc w:val="center"/>
        </w:trPr>
        <w:tc>
          <w:tcPr>
            <w:tcW w:w="1494" w:type="dxa"/>
            <w:shd w:val="clear" w:color="auto" w:fill="FFFFFF"/>
          </w:tcPr>
          <w:p w:rsidR="00A65CA6" w:rsidRPr="00A94C6C" w:rsidRDefault="00A65CA6" w:rsidP="00A65CA6">
            <w:pPr>
              <w:spacing w:before="40" w:after="40"/>
              <w:jc w:val="center"/>
              <w:rPr>
                <w:b/>
                <w:bCs/>
                <w:sz w:val="20"/>
              </w:rPr>
            </w:pPr>
            <w:r w:rsidRPr="00A94C6C">
              <w:rPr>
                <w:b/>
                <w:bCs/>
                <w:sz w:val="20"/>
              </w:rPr>
              <w:t>WP 5D</w:t>
            </w:r>
          </w:p>
        </w:tc>
        <w:tc>
          <w:tcPr>
            <w:tcW w:w="545"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16</w:t>
            </w:r>
          </w:p>
        </w:tc>
        <w:tc>
          <w:tcPr>
            <w:tcW w:w="1229"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10 Jul. 13</w:t>
            </w:r>
          </w:p>
        </w:tc>
        <w:tc>
          <w:tcPr>
            <w:tcW w:w="1358" w:type="dxa"/>
            <w:shd w:val="clear" w:color="auto" w:fill="FFFFFF"/>
          </w:tcPr>
          <w:p w:rsidR="00A65CA6" w:rsidRPr="00A94C6C" w:rsidRDefault="00A65CA6" w:rsidP="00A65CA6">
            <w:pPr>
              <w:spacing w:before="40" w:after="40"/>
              <w:jc w:val="center"/>
              <w:rPr>
                <w:b/>
                <w:bCs/>
                <w:color w:val="000000"/>
                <w:sz w:val="20"/>
              </w:rPr>
            </w:pPr>
            <w:r w:rsidRPr="00A94C6C">
              <w:rPr>
                <w:b/>
                <w:bCs/>
                <w:color w:val="000000"/>
                <w:sz w:val="20"/>
              </w:rPr>
              <w:t>17 Jul. 13</w:t>
            </w:r>
          </w:p>
        </w:tc>
        <w:tc>
          <w:tcPr>
            <w:tcW w:w="259" w:type="dxa"/>
            <w:shd w:val="clear" w:color="auto" w:fill="FFFFFF"/>
          </w:tcPr>
          <w:p w:rsidR="00A65CA6" w:rsidRPr="00A94C6C" w:rsidRDefault="00A65CA6" w:rsidP="00A65CA6">
            <w:pPr>
              <w:spacing w:before="40" w:after="40"/>
              <w:jc w:val="center"/>
              <w:rPr>
                <w:b/>
                <w:color w:val="000000"/>
                <w:sz w:val="20"/>
              </w:rPr>
            </w:pPr>
          </w:p>
        </w:tc>
        <w:tc>
          <w:tcPr>
            <w:tcW w:w="2372" w:type="dxa"/>
            <w:shd w:val="clear" w:color="auto" w:fill="FFFFFF"/>
          </w:tcPr>
          <w:p w:rsidR="00A65CA6" w:rsidRPr="00A94C6C" w:rsidRDefault="00A65CA6" w:rsidP="00A65CA6">
            <w:pPr>
              <w:spacing w:before="40" w:after="40"/>
              <w:jc w:val="center"/>
              <w:rPr>
                <w:b/>
                <w:color w:val="000000"/>
                <w:sz w:val="20"/>
              </w:rPr>
            </w:pPr>
          </w:p>
        </w:tc>
        <w:tc>
          <w:tcPr>
            <w:tcW w:w="2153" w:type="dxa"/>
            <w:shd w:val="clear" w:color="auto" w:fill="FFFFFF"/>
          </w:tcPr>
          <w:p w:rsidR="00A65CA6" w:rsidRPr="00A94C6C" w:rsidRDefault="00A65CA6" w:rsidP="00A65CA6">
            <w:pPr>
              <w:spacing w:before="40" w:after="40"/>
              <w:ind w:left="37"/>
              <w:jc w:val="center"/>
              <w:rPr>
                <w:b/>
                <w:bCs/>
                <w:sz w:val="20"/>
              </w:rPr>
            </w:pPr>
          </w:p>
        </w:tc>
      </w:tr>
    </w:tbl>
    <w:p w:rsidR="00A65CA6" w:rsidRDefault="00A65CA6" w:rsidP="00A65CA6"/>
    <w:p w:rsidR="00BE64E2" w:rsidRDefault="00BE64E2">
      <w:pPr>
        <w:tabs>
          <w:tab w:val="clear" w:pos="1134"/>
          <w:tab w:val="clear" w:pos="1871"/>
          <w:tab w:val="clear" w:pos="2268"/>
        </w:tabs>
        <w:overflowPunct/>
        <w:autoSpaceDE/>
        <w:autoSpaceDN/>
        <w:adjustRightInd/>
        <w:spacing w:before="0"/>
        <w:textAlignment w:val="auto"/>
        <w:rPr>
          <w:b/>
          <w:sz w:val="28"/>
        </w:rPr>
      </w:pPr>
      <w:r>
        <w:br w:type="page"/>
      </w:r>
    </w:p>
    <w:p w:rsidR="00A65CA6" w:rsidRPr="00991BC0" w:rsidRDefault="001D02DA" w:rsidP="001D02DA">
      <w:pPr>
        <w:pStyle w:val="Heading1"/>
      </w:pPr>
      <w:r>
        <w:t>3</w:t>
      </w:r>
      <w:r>
        <w:tab/>
      </w:r>
      <w:r w:rsidR="00A65CA6" w:rsidRPr="00991BC0">
        <w:t>Proposal</w:t>
      </w:r>
    </w:p>
    <w:p w:rsidR="00A65CA6" w:rsidRPr="00991BC0" w:rsidRDefault="00A65CA6" w:rsidP="00A65CA6">
      <w:pPr>
        <w:rPr>
          <w:szCs w:val="24"/>
        </w:rPr>
      </w:pPr>
      <w:r w:rsidRPr="00991BC0">
        <w:rPr>
          <w:szCs w:val="24"/>
        </w:rPr>
        <w:t>It is proposed that:</w:t>
      </w:r>
    </w:p>
    <w:p w:rsidR="00A65CA6" w:rsidRPr="00991BC0" w:rsidRDefault="001D02DA" w:rsidP="001D02DA">
      <w:pPr>
        <w:pStyle w:val="enumlev1"/>
      </w:pPr>
      <w:r>
        <w:t>1)</w:t>
      </w:r>
      <w:r>
        <w:tab/>
      </w:r>
      <w:r w:rsidR="00A65CA6" w:rsidRPr="00991BC0">
        <w:t xml:space="preserve">WP 5D consider this high level </w:t>
      </w:r>
      <w:proofErr w:type="spellStart"/>
      <w:r w:rsidR="00A65CA6" w:rsidRPr="00991BC0">
        <w:t>workplan</w:t>
      </w:r>
      <w:proofErr w:type="spellEnd"/>
      <w:r w:rsidR="00A65CA6" w:rsidRPr="00991BC0">
        <w:t xml:space="preserve"> for d</w:t>
      </w:r>
      <w:r w:rsidR="00A65CA6">
        <w:t>eveloping the draft new</w:t>
      </w:r>
      <w:r>
        <w:t xml:space="preserve"> Report ITU</w:t>
      </w:r>
      <w:r>
        <w:noBreakHyphen/>
        <w:t>R </w:t>
      </w:r>
      <w:r w:rsidR="00A65CA6" w:rsidRPr="00991BC0">
        <w:t xml:space="preserve">M.[IMT.ADV.PARAM] and capture this in a detailed </w:t>
      </w:r>
      <w:proofErr w:type="spellStart"/>
      <w:r w:rsidR="00A65CA6" w:rsidRPr="00991BC0">
        <w:t>workplan</w:t>
      </w:r>
      <w:proofErr w:type="spellEnd"/>
      <w:r w:rsidR="00A65CA6" w:rsidRPr="00991BC0">
        <w:t>.</w:t>
      </w:r>
    </w:p>
    <w:p w:rsidR="00A65CA6" w:rsidRPr="00991BC0" w:rsidRDefault="001D02DA" w:rsidP="001D02DA">
      <w:pPr>
        <w:pStyle w:val="enumlev1"/>
      </w:pPr>
      <w:r>
        <w:t>2)</w:t>
      </w:r>
      <w:r>
        <w:tab/>
      </w:r>
      <w:r w:rsidR="00A65CA6" w:rsidRPr="00991BC0">
        <w:t>WP 5D initiates work in the July 2012 meeting to create the framework for draft new Report ITU-R M.[IMT.ADV.PARAM] in order to send a liaison to 3GPP and I</w:t>
      </w:r>
      <w:r w:rsidR="00A65CA6">
        <w:t>EEE from the July 2012 and October 2012 meeting</w:t>
      </w:r>
      <w:r>
        <w:t>s</w:t>
      </w:r>
      <w:r w:rsidR="00A65CA6">
        <w:t>.</w:t>
      </w:r>
    </w:p>
    <w:p w:rsidR="00A65CA6" w:rsidRDefault="001D02DA" w:rsidP="001D02DA">
      <w:pPr>
        <w:pStyle w:val="enumlev1"/>
      </w:pPr>
      <w:r>
        <w:t>3)</w:t>
      </w:r>
      <w:r>
        <w:tab/>
      </w:r>
      <w:r w:rsidR="00A65CA6" w:rsidRPr="00991BC0">
        <w:t xml:space="preserve">That the aspects discussed above with regard to the information flows from 3GPP and IEEE and both WP 5D and the JTG be adopted as </w:t>
      </w:r>
      <w:r w:rsidR="00A65CA6">
        <w:t xml:space="preserve">a </w:t>
      </w:r>
      <w:r w:rsidR="00A65CA6" w:rsidRPr="00991BC0">
        <w:t>working method on the draft new Report.</w:t>
      </w:r>
    </w:p>
    <w:p w:rsidR="00A65CA6" w:rsidRPr="00991BC0" w:rsidRDefault="001D02DA" w:rsidP="001D02DA">
      <w:pPr>
        <w:pStyle w:val="enumlev1"/>
      </w:pPr>
      <w:r>
        <w:t>4)</w:t>
      </w:r>
      <w:r>
        <w:tab/>
      </w:r>
      <w:r w:rsidR="00A65CA6">
        <w:t>That Annex 1 be considered for the liaison to 3GPP and IEEE.</w:t>
      </w:r>
    </w:p>
    <w:p w:rsidR="00A65CA6" w:rsidRDefault="00A65CA6" w:rsidP="001D02DA"/>
    <w:p w:rsidR="001D02DA" w:rsidRDefault="001D02DA" w:rsidP="001D02DA"/>
    <w:p w:rsidR="001D02DA" w:rsidRDefault="001D02DA" w:rsidP="001D02DA"/>
    <w:p w:rsidR="001D02DA" w:rsidRDefault="001D02DA" w:rsidP="001D02DA"/>
    <w:p w:rsidR="001D02DA" w:rsidRDefault="001D02DA" w:rsidP="001D02DA"/>
    <w:p w:rsidR="001D02DA" w:rsidRDefault="001D02DA" w:rsidP="001D02DA"/>
    <w:p w:rsidR="001D02DA" w:rsidRPr="001D02DA" w:rsidRDefault="001D02DA" w:rsidP="001D02DA">
      <w:pPr>
        <w:rPr>
          <w:bCs/>
        </w:rPr>
      </w:pPr>
      <w:r>
        <w:rPr>
          <w:b/>
          <w:bCs/>
        </w:rPr>
        <w:t>Annex:</w:t>
      </w:r>
      <w:r>
        <w:rPr>
          <w:bCs/>
        </w:rPr>
        <w:t xml:space="preserve">  1</w:t>
      </w:r>
    </w:p>
    <w:p w:rsidR="00A65CA6" w:rsidRDefault="00A65CA6" w:rsidP="00A65CA6">
      <w:r>
        <w:br w:type="page"/>
      </w:r>
    </w:p>
    <w:p w:rsidR="00A65CA6" w:rsidRPr="00C829B9" w:rsidRDefault="00A65CA6" w:rsidP="001D02DA">
      <w:pPr>
        <w:pStyle w:val="AnnexNo"/>
      </w:pPr>
      <w:r w:rsidRPr="00C829B9">
        <w:t>A</w:t>
      </w:r>
      <w:r>
        <w:t>NNEX</w:t>
      </w:r>
    </w:p>
    <w:p w:rsidR="00A65CA6" w:rsidRPr="00C829B9" w:rsidRDefault="00A65CA6" w:rsidP="0007610A">
      <w:pPr>
        <w:pStyle w:val="Annextitle"/>
      </w:pPr>
      <w:r w:rsidRPr="00C829B9">
        <w:t>[D</w:t>
      </w:r>
      <w:r w:rsidR="0007610A" w:rsidRPr="00C829B9">
        <w:t>raft</w:t>
      </w:r>
      <w:r w:rsidRPr="00C829B9">
        <w:t xml:space="preserve">] </w:t>
      </w:r>
      <w:r w:rsidR="0007610A" w:rsidRPr="00C829B9">
        <w:t>liaison to</w:t>
      </w:r>
      <w:r w:rsidRPr="00C829B9">
        <w:t xml:space="preserve"> 3GPP </w:t>
      </w:r>
      <w:r w:rsidR="0007610A">
        <w:t>and</w:t>
      </w:r>
      <w:r w:rsidRPr="00C829B9">
        <w:t xml:space="preserve"> IEEE </w:t>
      </w:r>
      <w:r w:rsidR="0007610A" w:rsidRPr="00C829B9">
        <w:t xml:space="preserve">requesting characteristics for </w:t>
      </w:r>
      <w:r w:rsidRPr="00C829B9">
        <w:t>IMT-A</w:t>
      </w:r>
      <w:r w:rsidR="0007610A">
        <w:t xml:space="preserve">dvanced system technologies for draft </w:t>
      </w:r>
      <w:r w:rsidR="0007610A" w:rsidRPr="00C829B9">
        <w:t>new</w:t>
      </w:r>
      <w:r w:rsidRPr="00C829B9">
        <w:t xml:space="preserve"> R</w:t>
      </w:r>
      <w:r w:rsidR="0007610A" w:rsidRPr="00C829B9">
        <w:t>eport</w:t>
      </w:r>
      <w:r w:rsidRPr="00C829B9">
        <w:t xml:space="preserve"> ITU-</w:t>
      </w:r>
      <w:r w:rsidR="001D02DA">
        <w:t>R N.[IMT.ADV.PARAM]</w:t>
      </w:r>
      <w:r w:rsidR="001D02DA">
        <w:br/>
      </w:r>
      <w:r w:rsidR="0007610A" w:rsidRPr="00C829B9">
        <w:t xml:space="preserve">for </w:t>
      </w:r>
      <w:r w:rsidRPr="00C829B9">
        <w:t xml:space="preserve">WRC-15 </w:t>
      </w:r>
      <w:r w:rsidR="0007610A" w:rsidRPr="00C829B9">
        <w:t>sharing studies</w:t>
      </w:r>
    </w:p>
    <w:p w:rsidR="00A65CA6" w:rsidRPr="00C829B9" w:rsidRDefault="001D02DA" w:rsidP="001D02DA">
      <w:pPr>
        <w:pStyle w:val="Heading1"/>
      </w:pPr>
      <w:r>
        <w:t>1</w:t>
      </w:r>
      <w:r>
        <w:tab/>
      </w:r>
      <w:r w:rsidR="00A65CA6" w:rsidRPr="00C829B9">
        <w:t>Background</w:t>
      </w:r>
    </w:p>
    <w:p w:rsidR="00A65CA6" w:rsidRPr="00C829B9" w:rsidRDefault="00A65CA6" w:rsidP="00A65CA6">
      <w:pPr>
        <w:spacing w:after="120"/>
        <w:rPr>
          <w:szCs w:val="24"/>
        </w:rPr>
      </w:pPr>
      <w:r w:rsidRPr="00C829B9">
        <w:rPr>
          <w:szCs w:val="24"/>
        </w:rPr>
        <w:t xml:space="preserve">In conjunction with the conclusion of ITU-R World Radio Conference 2012 (WRC-12), Agenda </w:t>
      </w:r>
      <w:r w:rsidR="001D02DA" w:rsidRPr="00C829B9">
        <w:rPr>
          <w:szCs w:val="24"/>
        </w:rPr>
        <w:t>i</w:t>
      </w:r>
      <w:r w:rsidRPr="00C829B9">
        <w:rPr>
          <w:szCs w:val="24"/>
        </w:rPr>
        <w:t>tems 1.1 (AI 1.1) and 1.2 (AI 1.2) were agreed as a work topics for consideration and decisions at the World Radio Conference 2015 WRC-</w:t>
      </w:r>
      <w:r w:rsidR="001D02DA">
        <w:rPr>
          <w:szCs w:val="24"/>
        </w:rPr>
        <w:t>15 (planned for Oct/Nov 2015).</w:t>
      </w:r>
    </w:p>
    <w:p w:rsidR="00A65CA6" w:rsidRPr="00C829B9" w:rsidRDefault="00A65CA6" w:rsidP="00A65CA6">
      <w:pPr>
        <w:spacing w:after="120"/>
        <w:rPr>
          <w:szCs w:val="24"/>
        </w:rPr>
      </w:pPr>
      <w:r w:rsidRPr="00C829B9">
        <w:rPr>
          <w:szCs w:val="24"/>
        </w:rPr>
        <w:t>In the work structure for AI 1.1 and AI 1.2, certain studies on “sharing &amp; compatibility” were designated to be addressed by a special purpose new entity, a Joint Task Group (JTG 4-5-6-7), created by the first Conference Preparatory Meeting (CPM 15-1) meeting which</w:t>
      </w:r>
      <w:r w:rsidR="001D02DA">
        <w:rPr>
          <w:szCs w:val="24"/>
        </w:rPr>
        <w:t xml:space="preserve"> met immediately after WRC-12.</w:t>
      </w:r>
    </w:p>
    <w:p w:rsidR="00A65CA6" w:rsidRPr="00C829B9" w:rsidRDefault="00A65CA6" w:rsidP="00A65CA6">
      <w:pPr>
        <w:spacing w:after="120"/>
        <w:rPr>
          <w:szCs w:val="24"/>
        </w:rPr>
      </w:pPr>
      <w:r w:rsidRPr="00C829B9">
        <w:rPr>
          <w:szCs w:val="24"/>
        </w:rPr>
        <w:t>Working Party 5D as the lead group for IMT in ITU-R also has responsibility for cert</w:t>
      </w:r>
      <w:r w:rsidR="001D02DA">
        <w:rPr>
          <w:szCs w:val="24"/>
        </w:rPr>
        <w:t>ain work on AI 1.1 and AI 1.2.</w:t>
      </w:r>
    </w:p>
    <w:p w:rsidR="00A65CA6" w:rsidRPr="00C829B9" w:rsidRDefault="00A65CA6" w:rsidP="00E06013">
      <w:pPr>
        <w:spacing w:after="120"/>
        <w:rPr>
          <w:szCs w:val="24"/>
        </w:rPr>
      </w:pPr>
      <w:r w:rsidRPr="00C829B9">
        <w:rPr>
          <w:szCs w:val="24"/>
        </w:rPr>
        <w:t xml:space="preserve">Information on Agenda </w:t>
      </w:r>
      <w:r w:rsidR="001D02DA" w:rsidRPr="00C829B9">
        <w:rPr>
          <w:szCs w:val="24"/>
        </w:rPr>
        <w:t>i</w:t>
      </w:r>
      <w:r w:rsidRPr="00C829B9">
        <w:rPr>
          <w:szCs w:val="24"/>
        </w:rPr>
        <w:t>tems 1.1 and 1.2</w:t>
      </w:r>
      <w:r>
        <w:rPr>
          <w:szCs w:val="24"/>
        </w:rPr>
        <w:t xml:space="preserve"> is</w:t>
      </w:r>
      <w:r w:rsidRPr="00C829B9">
        <w:rPr>
          <w:szCs w:val="24"/>
        </w:rPr>
        <w:t xml:space="preserve"> provided in </w:t>
      </w:r>
      <w:r w:rsidRPr="00E65DF3">
        <w:rPr>
          <w:szCs w:val="24"/>
        </w:rPr>
        <w:t>Attachment</w:t>
      </w:r>
      <w:r w:rsidR="00E06013">
        <w:rPr>
          <w:szCs w:val="24"/>
        </w:rPr>
        <w:t xml:space="preserve"> 1</w:t>
      </w:r>
      <w:r w:rsidRPr="00E65DF3">
        <w:rPr>
          <w:szCs w:val="24"/>
        </w:rPr>
        <w:t>.</w:t>
      </w:r>
    </w:p>
    <w:p w:rsidR="00A65CA6" w:rsidRPr="001D02DA" w:rsidRDefault="001D02DA" w:rsidP="001D02DA">
      <w:pPr>
        <w:pStyle w:val="Heading1"/>
      </w:pPr>
      <w:r w:rsidRPr="001D02DA">
        <w:t>2</w:t>
      </w:r>
      <w:r w:rsidRPr="001D02DA">
        <w:tab/>
      </w:r>
      <w:r w:rsidR="00A65CA6" w:rsidRPr="001D02DA">
        <w:t>Information need</w:t>
      </w:r>
      <w:r>
        <w:t>ed</w:t>
      </w:r>
      <w:r w:rsidR="00A65CA6" w:rsidRPr="001D02DA">
        <w:t xml:space="preserve"> to be developed for shari</w:t>
      </w:r>
      <w:r>
        <w:t>ng studies under AI</w:t>
      </w:r>
      <w:r w:rsidR="0007610A">
        <w:t>s</w:t>
      </w:r>
      <w:r>
        <w:t xml:space="preserve"> 1.1 and 1.2</w:t>
      </w:r>
    </w:p>
    <w:p w:rsidR="00A65CA6" w:rsidRPr="00C829B9" w:rsidRDefault="00A65CA6" w:rsidP="001D02DA">
      <w:pPr>
        <w:spacing w:after="120"/>
        <w:rPr>
          <w:szCs w:val="24"/>
        </w:rPr>
      </w:pPr>
      <w:r w:rsidRPr="00C829B9">
        <w:rPr>
          <w:szCs w:val="24"/>
        </w:rPr>
        <w:t>The deliverables in Working Party 5D includes supporting the JTG’s designated studies by providing to the JTG information on IMT technologies (both IMT-2000 and IMT-Advanced) which includes compatibility and protection parameters and criteria that would b</w:t>
      </w:r>
      <w:r w:rsidR="001D02DA">
        <w:rPr>
          <w:szCs w:val="24"/>
        </w:rPr>
        <w:t>e utilized in sharing studies.</w:t>
      </w:r>
    </w:p>
    <w:p w:rsidR="00A65CA6" w:rsidRPr="00C829B9" w:rsidRDefault="00A65CA6" w:rsidP="0007610A">
      <w:pPr>
        <w:spacing w:after="120"/>
        <w:rPr>
          <w:szCs w:val="24"/>
        </w:rPr>
      </w:pPr>
      <w:r w:rsidRPr="00C829B9">
        <w:rPr>
          <w:szCs w:val="24"/>
        </w:rPr>
        <w:t xml:space="preserve">For Agenda </w:t>
      </w:r>
      <w:r w:rsidR="001D02DA" w:rsidRPr="00C829B9">
        <w:rPr>
          <w:szCs w:val="24"/>
        </w:rPr>
        <w:t>i</w:t>
      </w:r>
      <w:r w:rsidRPr="00C829B9">
        <w:rPr>
          <w:szCs w:val="24"/>
        </w:rPr>
        <w:t>tem 1.1 there was a deadline established for WP 5D to provide the relevant parameters to JTG 4-5-6-7 by 31 July 2013.</w:t>
      </w:r>
    </w:p>
    <w:p w:rsidR="00A65CA6" w:rsidRPr="00C829B9" w:rsidRDefault="00A65CA6" w:rsidP="001D02DA">
      <w:pPr>
        <w:spacing w:after="120"/>
        <w:rPr>
          <w:szCs w:val="24"/>
        </w:rPr>
      </w:pPr>
      <w:r w:rsidRPr="00C829B9">
        <w:rPr>
          <w:szCs w:val="24"/>
        </w:rPr>
        <w:t xml:space="preserve">For Agenda </w:t>
      </w:r>
      <w:r w:rsidR="001D02DA" w:rsidRPr="00C829B9">
        <w:rPr>
          <w:szCs w:val="24"/>
        </w:rPr>
        <w:t>i</w:t>
      </w:r>
      <w:r w:rsidRPr="00C829B9">
        <w:rPr>
          <w:szCs w:val="24"/>
        </w:rPr>
        <w:t>tem 1.2 there was a deadline established for WP 5D to provide the relevant parameters to JTG 4-5-6-7 by 31 December 2012</w:t>
      </w:r>
      <w:r w:rsidR="001D02DA">
        <w:rPr>
          <w:szCs w:val="24"/>
        </w:rPr>
        <w:t>.</w:t>
      </w:r>
    </w:p>
    <w:p w:rsidR="00A65CA6" w:rsidRPr="00C829B9" w:rsidRDefault="00A65CA6" w:rsidP="001D02DA">
      <w:pPr>
        <w:spacing w:after="120"/>
        <w:rPr>
          <w:szCs w:val="24"/>
        </w:rPr>
      </w:pPr>
      <w:r w:rsidRPr="00C829B9">
        <w:rPr>
          <w:szCs w:val="24"/>
        </w:rPr>
        <w:t xml:space="preserve">In meeting this obligation it was noted in Working Party 5D in its first meeting in the new ITU-R </w:t>
      </w:r>
      <w:r w:rsidR="001D02DA" w:rsidRPr="00C829B9">
        <w:rPr>
          <w:szCs w:val="24"/>
        </w:rPr>
        <w:t>S</w:t>
      </w:r>
      <w:r w:rsidRPr="00C829B9">
        <w:rPr>
          <w:szCs w:val="24"/>
        </w:rPr>
        <w:t xml:space="preserve">tudy </w:t>
      </w:r>
      <w:r w:rsidR="001D02DA">
        <w:rPr>
          <w:szCs w:val="24"/>
        </w:rPr>
        <w:t>Period</w:t>
      </w:r>
      <w:r w:rsidRPr="00C829B9">
        <w:rPr>
          <w:szCs w:val="24"/>
        </w:rPr>
        <w:t xml:space="preserve"> that:</w:t>
      </w:r>
    </w:p>
    <w:p w:rsidR="00A65CA6" w:rsidRPr="00C829B9" w:rsidRDefault="001D02DA" w:rsidP="001D02DA">
      <w:pPr>
        <w:pStyle w:val="enumlev1"/>
      </w:pPr>
      <w:r>
        <w:t>–</w:t>
      </w:r>
      <w:r w:rsidRPr="001D02DA">
        <w:tab/>
      </w:r>
      <w:r w:rsidR="00A65CA6" w:rsidRPr="00C829B9">
        <w:rPr>
          <w:u w:val="single"/>
        </w:rPr>
        <w:t>For the IMT-2000 technologies</w:t>
      </w:r>
      <w:r w:rsidR="00A65CA6" w:rsidRPr="00C829B9">
        <w:t xml:space="preserve">, existing Report ITU-R M.2039-2 (published 2010) </w:t>
      </w:r>
      <w:r w:rsidR="00A65CA6" w:rsidRPr="00C829B9">
        <w:rPr>
          <w:i/>
        </w:rPr>
        <w:t xml:space="preserve">“Characteristics of terrestrial IMT-2000 systems for frequency sharing </w:t>
      </w:r>
      <w:r>
        <w:rPr>
          <w:i/>
        </w:rPr>
        <w:t>and</w:t>
      </w:r>
      <w:r w:rsidR="00A65CA6" w:rsidRPr="00C829B9">
        <w:rPr>
          <w:i/>
        </w:rPr>
        <w:t xml:space="preserve"> interference analyses” </w:t>
      </w:r>
      <w:r w:rsidR="00A65CA6" w:rsidRPr="00C829B9">
        <w:t>addresses these type requested parameters and 3GPP and IEEE contributed to the develo</w:t>
      </w:r>
      <w:r>
        <w:t>pment/updating of this Report.</w:t>
      </w:r>
    </w:p>
    <w:p w:rsidR="00A65CA6" w:rsidRPr="00C829B9" w:rsidRDefault="001D02DA" w:rsidP="001D02DA">
      <w:pPr>
        <w:pStyle w:val="enumlev1"/>
      </w:pPr>
      <w:r>
        <w:t>–</w:t>
      </w:r>
      <w:r w:rsidRPr="001D02DA">
        <w:tab/>
      </w:r>
      <w:r w:rsidR="00A65CA6" w:rsidRPr="00C829B9">
        <w:rPr>
          <w:u w:val="single"/>
        </w:rPr>
        <w:t>For the IMT-Advanced technologies</w:t>
      </w:r>
      <w:r w:rsidR="00A65CA6" w:rsidRPr="00C829B9">
        <w:t xml:space="preserve">, no equivalent document to </w:t>
      </w:r>
      <w:r>
        <w:t xml:space="preserve">Report ITU-R </w:t>
      </w:r>
      <w:r w:rsidR="00A65CA6" w:rsidRPr="00C829B9">
        <w:t>M.2039 current exists in ITU-R as the final approval of the IMT-Advanced technologies defined in Recommendation ITU-R M.2012 was just appr</w:t>
      </w:r>
      <w:r>
        <w:t>oved in ITU-R in January 2012.</w:t>
      </w:r>
    </w:p>
    <w:p w:rsidR="00A65CA6" w:rsidRPr="00C829B9" w:rsidRDefault="00A65CA6" w:rsidP="001D02DA">
      <w:r w:rsidRPr="00C829B9">
        <w:t xml:space="preserve">Consequently, while WP 5D can point to </w:t>
      </w:r>
      <w:r w:rsidR="001D02DA">
        <w:t xml:space="preserve">Report ITU-R </w:t>
      </w:r>
      <w:r w:rsidRPr="00C829B9">
        <w:t>M.2039 for the relevant parameters for IMT-2000, it will need to develop a similar Report for the IMT-Advanced parameters working in conjunction with the external organizations of 3GPP and IEEE.</w:t>
      </w:r>
    </w:p>
    <w:p w:rsidR="001D02DA" w:rsidRDefault="001D02DA">
      <w:pPr>
        <w:tabs>
          <w:tab w:val="clear" w:pos="1134"/>
          <w:tab w:val="clear" w:pos="1871"/>
          <w:tab w:val="clear" w:pos="2268"/>
        </w:tabs>
        <w:overflowPunct/>
        <w:autoSpaceDE/>
        <w:autoSpaceDN/>
        <w:adjustRightInd/>
        <w:spacing w:before="0"/>
        <w:textAlignment w:val="auto"/>
      </w:pPr>
      <w:r>
        <w:br w:type="page"/>
      </w:r>
    </w:p>
    <w:p w:rsidR="00A65CA6" w:rsidRPr="00C829B9" w:rsidRDefault="00A65CA6" w:rsidP="001D02DA">
      <w:r w:rsidRPr="00C829B9">
        <w:t>W</w:t>
      </w:r>
      <w:r w:rsidR="001D02DA">
        <w:t xml:space="preserve">orking </w:t>
      </w:r>
      <w:r w:rsidRPr="00C829B9">
        <w:t>P</w:t>
      </w:r>
      <w:r w:rsidR="001D02DA">
        <w:t>arty</w:t>
      </w:r>
      <w:r w:rsidRPr="00C829B9">
        <w:t xml:space="preserve"> 5D has started work on the relevant document which is identified as </w:t>
      </w:r>
      <w:r w:rsidRPr="001D02DA">
        <w:rPr>
          <w:bCs/>
          <w:iCs/>
        </w:rPr>
        <w:t xml:space="preserve">draft new Report ITU-R M.[IMT.ADV.PARAM] </w:t>
      </w:r>
      <w:r w:rsidRPr="00C829B9">
        <w:t xml:space="preserve">covering the sharing, compatibility </w:t>
      </w:r>
      <w:r w:rsidR="001D02DA">
        <w:t>and</w:t>
      </w:r>
      <w:r w:rsidRPr="00C829B9">
        <w:t xml:space="preserve"> protection criteria for IMT-Advanced systems for WRC-15 studies and intends to finalize this deliverable in 2103</w:t>
      </w:r>
      <w:r w:rsidR="001D02DA">
        <w:t>, as </w:t>
      </w:r>
      <w:r>
        <w:t xml:space="preserve">well as a revision of Report </w:t>
      </w:r>
      <w:r w:rsidR="001D02DA">
        <w:t xml:space="preserve">ITU-R </w:t>
      </w:r>
      <w:r>
        <w:t>M.2039-2 to include the latest developments of IMT-2000 technologies.</w:t>
      </w:r>
    </w:p>
    <w:p w:rsidR="00A65CA6" w:rsidRPr="00C829B9" w:rsidRDefault="001D02DA" w:rsidP="001D02DA">
      <w:pPr>
        <w:pStyle w:val="Heading1"/>
      </w:pPr>
      <w:r>
        <w:t>3)</w:t>
      </w:r>
      <w:r>
        <w:tab/>
      </w:r>
      <w:r w:rsidR="00A65CA6" w:rsidRPr="00C829B9">
        <w:t>Request to 3GPP and IEEE</w:t>
      </w:r>
    </w:p>
    <w:p w:rsidR="00A65CA6" w:rsidRPr="00C829B9" w:rsidRDefault="00A65CA6" w:rsidP="00A65CA6">
      <w:pPr>
        <w:rPr>
          <w:szCs w:val="24"/>
        </w:rPr>
      </w:pPr>
      <w:r w:rsidRPr="00C829B9">
        <w:rPr>
          <w:szCs w:val="24"/>
        </w:rPr>
        <w:t xml:space="preserve">The information to be compiled in </w:t>
      </w:r>
      <w:r w:rsidR="00B6592F">
        <w:rPr>
          <w:szCs w:val="24"/>
        </w:rPr>
        <w:t xml:space="preserve">Report ITU-R </w:t>
      </w:r>
      <w:r w:rsidRPr="00B6592F">
        <w:rPr>
          <w:bCs/>
          <w:szCs w:val="24"/>
        </w:rPr>
        <w:t>M.[IMT.ADV.PARAM]</w:t>
      </w:r>
      <w:r w:rsidRPr="00C829B9">
        <w:rPr>
          <w:szCs w:val="24"/>
        </w:rPr>
        <w:t xml:space="preserve"> will serve both the studies for AI</w:t>
      </w:r>
      <w:r w:rsidR="00B6592F">
        <w:rPr>
          <w:szCs w:val="24"/>
        </w:rPr>
        <w:t>s</w:t>
      </w:r>
      <w:r w:rsidRPr="00C829B9">
        <w:rPr>
          <w:szCs w:val="24"/>
        </w:rPr>
        <w:t xml:space="preserve"> 1.1 and 1.2.  However, due to the deadlines established by the JTG for receipt of information, WP 5D will be developing this document in two </w:t>
      </w:r>
      <w:r>
        <w:rPr>
          <w:szCs w:val="24"/>
        </w:rPr>
        <w:t>Part</w:t>
      </w:r>
      <w:r w:rsidRPr="00C829B9">
        <w:rPr>
          <w:szCs w:val="24"/>
        </w:rPr>
        <w:t>s.</w:t>
      </w:r>
    </w:p>
    <w:p w:rsidR="00A65CA6" w:rsidRPr="00C829B9" w:rsidRDefault="00B6592F" w:rsidP="00B6592F">
      <w:pPr>
        <w:pStyle w:val="enumlev1"/>
      </w:pPr>
      <w:r w:rsidRPr="00B6592F">
        <w:rPr>
          <w:bCs/>
        </w:rPr>
        <w:t>–</w:t>
      </w:r>
      <w:r>
        <w:rPr>
          <w:b/>
        </w:rPr>
        <w:tab/>
      </w:r>
      <w:r w:rsidR="00A65CA6">
        <w:rPr>
          <w:b/>
        </w:rPr>
        <w:t xml:space="preserve">Part </w:t>
      </w:r>
      <w:r w:rsidR="00A65CA6" w:rsidRPr="00C829B9">
        <w:rPr>
          <w:b/>
        </w:rPr>
        <w:t>1 (bands below 1 GHz):</w:t>
      </w:r>
      <w:r w:rsidR="00A65CA6" w:rsidRPr="00C829B9">
        <w:t xml:space="preserve"> WP 5D is seeking the information relevant to the bands below 1 GHz (and for AI 1.2 particularly the band rang</w:t>
      </w:r>
      <w:r w:rsidR="0007610A">
        <w:t>e of roughly 690 to 960 MHz) by </w:t>
      </w:r>
      <w:r w:rsidR="00A65CA6" w:rsidRPr="00C829B9">
        <w:t xml:space="preserve">its October 2012 meeting No. 14 in order to review and submit it to the JTG by the requisite 31 December 2012 deadline for </w:t>
      </w:r>
      <w:r w:rsidR="00A65CA6" w:rsidRPr="00B6592F">
        <w:rPr>
          <w:iCs/>
        </w:rPr>
        <w:t>AI 1.2</w:t>
      </w:r>
      <w:r w:rsidR="00A65CA6" w:rsidRPr="00C829B9">
        <w:t>.</w:t>
      </w:r>
    </w:p>
    <w:p w:rsidR="00A65CA6" w:rsidRPr="00C829B9" w:rsidRDefault="00B6592F" w:rsidP="00B6592F">
      <w:pPr>
        <w:pStyle w:val="enumlev1"/>
      </w:pPr>
      <w:r w:rsidRPr="00B6592F">
        <w:rPr>
          <w:bCs/>
        </w:rPr>
        <w:t>–</w:t>
      </w:r>
      <w:r>
        <w:rPr>
          <w:b/>
        </w:rPr>
        <w:tab/>
      </w:r>
      <w:r w:rsidR="00A65CA6">
        <w:rPr>
          <w:b/>
        </w:rPr>
        <w:t>Part</w:t>
      </w:r>
      <w:r w:rsidR="00A65CA6" w:rsidRPr="00C829B9">
        <w:rPr>
          <w:b/>
        </w:rPr>
        <w:t xml:space="preserve"> 2 (bands below 1 GHz and bands above 1 GHz but below 6 GHz ):</w:t>
      </w:r>
      <w:r w:rsidR="00A65CA6" w:rsidRPr="00C829B9">
        <w:t xml:space="preserve"> WP 5D is seeking the information relevant to other potential IMT bands under </w:t>
      </w:r>
      <w:r w:rsidR="00A65CA6" w:rsidRPr="00B6592F">
        <w:rPr>
          <w:iCs/>
        </w:rPr>
        <w:t>AI 1.1</w:t>
      </w:r>
      <w:r w:rsidR="00A65CA6" w:rsidRPr="00C829B9">
        <w:t xml:space="preserve"> which includes both bands below 1 GHz and bands abo</w:t>
      </w:r>
      <w:r>
        <w:t>ve 1 GHz but below 6 GHz.  This </w:t>
      </w:r>
      <w:r w:rsidR="00A65CA6" w:rsidRPr="00C829B9">
        <w:t xml:space="preserve">information along with any updated information on the bands below 1 GHz is needed by WP 5D by its July 2013 meeting No. 16 </w:t>
      </w:r>
      <w:r>
        <w:t>in order to review and submit a </w:t>
      </w:r>
      <w:r w:rsidR="00A65CA6" w:rsidRPr="00C829B9">
        <w:t xml:space="preserve">complete package covering all relevant frequency ranges to the JTG by the requisite 31 July 2013 deadline for </w:t>
      </w:r>
      <w:r w:rsidR="00A65CA6" w:rsidRPr="00B6592F">
        <w:rPr>
          <w:iCs/>
        </w:rPr>
        <w:t>AI 1.1</w:t>
      </w:r>
      <w:r>
        <w:rPr>
          <w:iCs/>
        </w:rPr>
        <w:t>.</w:t>
      </w:r>
    </w:p>
    <w:p w:rsidR="00A65CA6" w:rsidRPr="00C829B9" w:rsidRDefault="00A65CA6" w:rsidP="00B6592F">
      <w:r w:rsidRPr="00C829B9">
        <w:t>Working Party 5D therefore has the following specific requests:</w:t>
      </w:r>
    </w:p>
    <w:p w:rsidR="00A65CA6" w:rsidRPr="00C829B9" w:rsidRDefault="00B6592F" w:rsidP="00B6592F">
      <w:pPr>
        <w:pStyle w:val="enumlev1"/>
      </w:pPr>
      <w:r>
        <w:t>–</w:t>
      </w:r>
      <w:r>
        <w:tab/>
      </w:r>
      <w:r w:rsidR="00A65CA6" w:rsidRPr="00C829B9">
        <w:t xml:space="preserve">For </w:t>
      </w:r>
      <w:r w:rsidR="00A65CA6">
        <w:t xml:space="preserve">Part </w:t>
      </w:r>
      <w:r w:rsidR="00A65CA6" w:rsidRPr="00C829B9">
        <w:t>1 (bands below 1 GHz):</w:t>
      </w:r>
    </w:p>
    <w:p w:rsidR="00A65CA6" w:rsidRPr="00C829B9" w:rsidRDefault="00B6592F" w:rsidP="00B6592F">
      <w:pPr>
        <w:pStyle w:val="enumlev2"/>
      </w:pPr>
      <w:proofErr w:type="spellStart"/>
      <w:r>
        <w:t>i</w:t>
      </w:r>
      <w:proofErr w:type="spellEnd"/>
      <w:r>
        <w:t>)</w:t>
      </w:r>
      <w:r>
        <w:tab/>
      </w:r>
      <w:r w:rsidR="00A65CA6" w:rsidRPr="00C829B9">
        <w:t xml:space="preserve">Utilizing the enclosed template in </w:t>
      </w:r>
      <w:r w:rsidR="00A65CA6" w:rsidRPr="00E65DF3">
        <w:t>Attachment 2</w:t>
      </w:r>
      <w:r w:rsidR="00A65CA6" w:rsidRPr="00C829B9">
        <w:t>, please provide to Working Party 5D the information on IMT-Advanced system parameters corresponding to the respective technologies in Recommendation ITU-R M.2012 in support of sharing and compatibility studies in th</w:t>
      </w:r>
      <w:r>
        <w:t>e frequency range below 1 GHz.</w:t>
      </w:r>
    </w:p>
    <w:p w:rsidR="00A65CA6" w:rsidRDefault="00B6592F" w:rsidP="00B6592F">
      <w:pPr>
        <w:pStyle w:val="enumlev2"/>
        <w:ind w:right="-142"/>
        <w:rPr>
          <w:u w:val="single"/>
        </w:rPr>
      </w:pPr>
      <w:r>
        <w:t>ii)</w:t>
      </w:r>
      <w:r>
        <w:tab/>
      </w:r>
      <w:r w:rsidR="00A65CA6" w:rsidRPr="00C829B9">
        <w:t xml:space="preserve">Given the requested delivery of this </w:t>
      </w:r>
      <w:r w:rsidR="00A65CA6">
        <w:t>Part</w:t>
      </w:r>
      <w:r w:rsidR="00A65CA6" w:rsidRPr="00C829B9">
        <w:t xml:space="preserve"> 1 information to </w:t>
      </w:r>
      <w:r>
        <w:t>JTG 4-5-6-7 by 31 </w:t>
      </w:r>
      <w:r w:rsidR="00A65CA6" w:rsidRPr="00C829B9">
        <w:t xml:space="preserve">December 2012, </w:t>
      </w:r>
      <w:r w:rsidR="00A65CA6" w:rsidRPr="00B6592F">
        <w:t xml:space="preserve">WP 5D kindly asks for the Part 1 information in time for its October 2012 meeting (deadline for document submissions is 26 September 2012 </w:t>
      </w:r>
      <w:r>
        <w:t>at</w:t>
      </w:r>
      <w:r w:rsidR="00A65CA6" w:rsidRPr="00B6592F">
        <w:t xml:space="preserve"> 16:00 hours UTC).</w:t>
      </w:r>
    </w:p>
    <w:p w:rsidR="00A65CA6" w:rsidRPr="00C829B9" w:rsidRDefault="00B6592F" w:rsidP="00B6592F">
      <w:pPr>
        <w:pStyle w:val="enumlev2"/>
      </w:pPr>
      <w:r>
        <w:t>iii)</w:t>
      </w:r>
      <w:r>
        <w:tab/>
      </w:r>
      <w:r w:rsidR="00A65CA6" w:rsidRPr="00C829B9">
        <w:t xml:space="preserve">While the preference is to receive </w:t>
      </w:r>
      <w:r w:rsidR="00A65CA6">
        <w:t>Part</w:t>
      </w:r>
      <w:r w:rsidR="00A65CA6" w:rsidRPr="00C829B9">
        <w:t xml:space="preserve"> 1 parameters for its October 2012 meeting, it is recognized by WP 5D that because of the short interval for the request in this liaison that the 26 September 2012 deadline might pose some difficulties for either 3GPP or IEEE and as a remedy for this, WP 5D would like to offer an alternative approach </w:t>
      </w:r>
      <w:r w:rsidR="00A65CA6">
        <w:t xml:space="preserve">(Part 1 Alternative) </w:t>
      </w:r>
      <w:r w:rsidR="00A65CA6" w:rsidRPr="00C829B9">
        <w:t>which could optionally be utilized (if necessary):</w:t>
      </w:r>
    </w:p>
    <w:p w:rsidR="00A65CA6" w:rsidRPr="00C829B9" w:rsidRDefault="00B6592F" w:rsidP="00B6592F">
      <w:pPr>
        <w:pStyle w:val="enumlev3"/>
      </w:pPr>
      <w:r>
        <w:t>a)</w:t>
      </w:r>
      <w:r>
        <w:tab/>
      </w:r>
      <w:r w:rsidR="00A65CA6">
        <w:t>For Part 1 Alternative, s</w:t>
      </w:r>
      <w:r w:rsidR="00A65CA6" w:rsidRPr="00C829B9">
        <w:t xml:space="preserve">hould meeting the 26 September 2012 date for the parameters below 1GHz, 3GPP and IEEE are alternatively requested to reply to WP 5D </w:t>
      </w:r>
      <w:r w:rsidR="00A65CA6" w:rsidRPr="00B6592F">
        <w:rPr>
          <w:bCs/>
        </w:rPr>
        <w:t>and to also copy the reply to JTG 4-5-6-7</w:t>
      </w:r>
      <w:r w:rsidR="00A65CA6" w:rsidRPr="00C829B9">
        <w:t xml:space="preserve"> with their respective </w:t>
      </w:r>
      <w:r w:rsidR="00A65CA6" w:rsidRPr="00B6592F">
        <w:rPr>
          <w:iCs/>
        </w:rPr>
        <w:t>preliminary responses to the liaison</w:t>
      </w:r>
      <w:r w:rsidR="00A65CA6" w:rsidRPr="00C829B9">
        <w:t xml:space="preserve"> before 31 December 2012 which is the deadline for inputs to JTG, thus effectively meeting deadline for AI 1.2 and providing WP 5D with at least initial information on draft new Report ITU-R M.[IMT.ADV.PARAM].  WP 5D will consider the preliminary responses from 3GPP and I</w:t>
      </w:r>
      <w:r>
        <w:t>EEE in its Jan/Feb 2013 meeting </w:t>
      </w:r>
      <w:r w:rsidR="00A65CA6" w:rsidRPr="00C829B9">
        <w:t>#15 and issue a suitable liaison to the JTG from the WP 5D meeting #15 confirming and/or commenting upon the information.</w:t>
      </w:r>
    </w:p>
    <w:p w:rsidR="00A65CA6" w:rsidRDefault="00545882" w:rsidP="00545882">
      <w:pPr>
        <w:pStyle w:val="enumlev1"/>
      </w:pPr>
      <w:r>
        <w:t>–</w:t>
      </w:r>
      <w:r>
        <w:tab/>
      </w:r>
      <w:r w:rsidR="00A65CA6" w:rsidRPr="00C829B9">
        <w:t xml:space="preserve">For </w:t>
      </w:r>
      <w:r w:rsidR="00A65CA6">
        <w:t xml:space="preserve">Part </w:t>
      </w:r>
      <w:r w:rsidR="00A65CA6" w:rsidRPr="00C829B9">
        <w:t>2 (bands below 1 GHz and bands above 1 GHz but below 6 GHz):</w:t>
      </w:r>
    </w:p>
    <w:p w:rsidR="00A65CA6" w:rsidRPr="00C829B9" w:rsidRDefault="00BE64E2" w:rsidP="00BE64E2">
      <w:pPr>
        <w:pStyle w:val="enumlev2"/>
      </w:pPr>
      <w:proofErr w:type="spellStart"/>
      <w:r>
        <w:t>i</w:t>
      </w:r>
      <w:proofErr w:type="spellEnd"/>
      <w:r>
        <w:t>)</w:t>
      </w:r>
      <w:r>
        <w:tab/>
      </w:r>
      <w:r w:rsidR="00A65CA6" w:rsidRPr="00C829B9">
        <w:t xml:space="preserve">Utilizing the enclosed template in </w:t>
      </w:r>
      <w:r w:rsidR="00A65CA6" w:rsidRPr="00E65DF3">
        <w:t>Attachment 2</w:t>
      </w:r>
      <w:r w:rsidR="00A65CA6" w:rsidRPr="00C829B9">
        <w:t>, please provide to Working Party 5D the information on IMT-Advanced system parameters corresponding to the respective technologies in Recommendation ITU-R M.2012 in support of sharing and compatibility studies in the frequency range that encompasses both bands below 1 GHz and bands above 1 GHz.</w:t>
      </w:r>
    </w:p>
    <w:p w:rsidR="00A65CA6" w:rsidRPr="00C829B9" w:rsidRDefault="00BE64E2" w:rsidP="00BE64E2">
      <w:pPr>
        <w:pStyle w:val="enumlev2"/>
        <w:ind w:right="-284"/>
      </w:pPr>
      <w:r>
        <w:t>ii)</w:t>
      </w:r>
      <w:r>
        <w:tab/>
      </w:r>
      <w:r w:rsidR="00A65CA6" w:rsidRPr="00C829B9">
        <w:t xml:space="preserve">Given the requested delivery of </w:t>
      </w:r>
      <w:r w:rsidR="00A65CA6">
        <w:t xml:space="preserve">Part </w:t>
      </w:r>
      <w:r w:rsidR="00A65CA6" w:rsidRPr="00C829B9">
        <w:t xml:space="preserve">2 information to JTG 4-5-6-7 by 31 July 2103, </w:t>
      </w:r>
      <w:r w:rsidR="00A65CA6" w:rsidRPr="00BE64E2">
        <w:t xml:space="preserve">WP 5D kindly asks for Part 2 information in time for its July 2013 meeting (deadline for document submissions is 3 July 2013 </w:t>
      </w:r>
      <w:r>
        <w:t>at</w:t>
      </w:r>
      <w:r w:rsidR="00A65CA6" w:rsidRPr="00BE64E2">
        <w:t xml:space="preserve"> 16:00 hours UTC).</w:t>
      </w:r>
    </w:p>
    <w:p w:rsidR="00A65CA6" w:rsidRPr="00BE64E2" w:rsidRDefault="00BE64E2" w:rsidP="00BE64E2">
      <w:pPr>
        <w:pStyle w:val="enumlev2"/>
        <w:rPr>
          <w:iCs/>
        </w:rPr>
      </w:pPr>
      <w:r w:rsidRPr="00BE64E2">
        <w:rPr>
          <w:iCs/>
        </w:rPr>
        <w:t>iii)</w:t>
      </w:r>
      <w:r>
        <w:rPr>
          <w:i/>
        </w:rPr>
        <w:tab/>
      </w:r>
      <w:r w:rsidR="00A65CA6" w:rsidRPr="00BE64E2">
        <w:rPr>
          <w:iCs/>
        </w:rPr>
        <w:t>Part 2 necessarily includes the final responses to the liaison for all relevant frequency ranges including any updates to the preliminary response received for Part 1.</w:t>
      </w:r>
    </w:p>
    <w:p w:rsidR="00A65CA6" w:rsidRPr="00827256" w:rsidRDefault="00BE64E2" w:rsidP="00BE64E2">
      <w:pPr>
        <w:pStyle w:val="enumlev2"/>
      </w:pPr>
      <w:r>
        <w:t>iv)</w:t>
      </w:r>
      <w:r>
        <w:tab/>
      </w:r>
      <w:r w:rsidR="00A65CA6" w:rsidRPr="00827256">
        <w:t xml:space="preserve">WP 5D also requests </w:t>
      </w:r>
      <w:r w:rsidR="00A65CA6">
        <w:t>as a</w:t>
      </w:r>
      <w:r w:rsidR="00A65CA6" w:rsidRPr="00827256">
        <w:t xml:space="preserve"> Part 2 </w:t>
      </w:r>
      <w:r w:rsidR="00A65CA6">
        <w:t>response any</w:t>
      </w:r>
      <w:r>
        <w:t xml:space="preserve"> relevant information towards a </w:t>
      </w:r>
      <w:r w:rsidR="00A65CA6" w:rsidRPr="00827256">
        <w:t>revision of Re</w:t>
      </w:r>
      <w:r w:rsidR="00A65CA6">
        <w:t>port</w:t>
      </w:r>
      <w:r w:rsidR="00A65CA6" w:rsidRPr="00827256">
        <w:t xml:space="preserve"> </w:t>
      </w:r>
      <w:r>
        <w:t xml:space="preserve">ITU-R </w:t>
      </w:r>
      <w:r w:rsidR="00A65CA6" w:rsidRPr="00827256">
        <w:t>M.2039</w:t>
      </w:r>
      <w:r w:rsidR="00A65CA6">
        <w:t>-2</w:t>
      </w:r>
      <w:r w:rsidR="00A65CA6" w:rsidRPr="00827256">
        <w:t xml:space="preserve"> to include the latest developments of IMT-2000 technologies</w:t>
      </w:r>
      <w:r w:rsidR="00A65CA6">
        <w:t xml:space="preserve"> and the inclusion of any new frequency ranges that have been developed in the relevant frequency band tables maintained by the Partnership Projects or SDO organizations</w:t>
      </w:r>
      <w:r w:rsidR="00A65CA6" w:rsidRPr="00827256">
        <w:t>.</w:t>
      </w:r>
      <w:r w:rsidR="00A65CA6">
        <w:t xml:space="preserve">  Re</w:t>
      </w:r>
      <w:r>
        <w:t>port</w:t>
      </w:r>
      <w:r w:rsidR="00A65CA6">
        <w:t xml:space="preserve"> </w:t>
      </w:r>
      <w:r>
        <w:t xml:space="preserve">ITU-R </w:t>
      </w:r>
      <w:r w:rsidR="00A65CA6">
        <w:t>M</w:t>
      </w:r>
      <w:r>
        <w:t>.</w:t>
      </w:r>
      <w:r w:rsidR="00A65CA6">
        <w:t xml:space="preserve">2039 in its current published form is available at </w:t>
      </w:r>
      <w:hyperlink r:id="rId10" w:history="1">
        <w:r w:rsidR="00A65CA6" w:rsidRPr="00D50539">
          <w:rPr>
            <w:rStyle w:val="Hyperlink"/>
            <w:szCs w:val="24"/>
          </w:rPr>
          <w:t>http://www.itu.int/pub/R-REP-M.2039-2-2010</w:t>
        </w:r>
      </w:hyperlink>
      <w:r w:rsidR="00A65CA6">
        <w:t>.</w:t>
      </w:r>
    </w:p>
    <w:p w:rsidR="00A65CA6" w:rsidRPr="00A94C6C" w:rsidRDefault="00BE64E2" w:rsidP="00BE64E2">
      <w:pPr>
        <w:pStyle w:val="Heading1"/>
      </w:pPr>
      <w:r>
        <w:t>4</w:t>
      </w:r>
      <w:r>
        <w:tab/>
      </w:r>
      <w:r w:rsidR="00A65CA6" w:rsidRPr="00C829B9">
        <w:t xml:space="preserve">Administrative </w:t>
      </w:r>
      <w:r w:rsidRPr="00C829B9">
        <w:t>i</w:t>
      </w:r>
      <w:r w:rsidR="00A65CA6" w:rsidRPr="00C829B9">
        <w:t>nformation</w:t>
      </w:r>
    </w:p>
    <w:p w:rsidR="00A65CA6" w:rsidRDefault="00A65CA6" w:rsidP="00A65CA6">
      <w:pPr>
        <w:rPr>
          <w:szCs w:val="24"/>
        </w:rPr>
      </w:pPr>
      <w:r w:rsidRPr="00C829B9">
        <w:rPr>
          <w:szCs w:val="24"/>
        </w:rPr>
        <w:t>The planned dates of the relevant WP 5D meetings are:</w:t>
      </w:r>
    </w:p>
    <w:p w:rsidR="00BE64E2" w:rsidRPr="00C829B9" w:rsidRDefault="00BE64E2" w:rsidP="00A65CA6">
      <w:pPr>
        <w:rPr>
          <w:szCs w:val="24"/>
        </w:rPr>
      </w:pPr>
    </w:p>
    <w:tbl>
      <w:tblPr>
        <w:tblW w:w="941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356"/>
        <w:gridCol w:w="509"/>
        <w:gridCol w:w="1171"/>
        <w:gridCol w:w="1273"/>
        <w:gridCol w:w="216"/>
        <w:gridCol w:w="2565"/>
        <w:gridCol w:w="2320"/>
      </w:tblGrid>
      <w:tr w:rsidR="00A65CA6" w:rsidRPr="00EF5A69" w:rsidTr="00A65CA6">
        <w:trPr>
          <w:tblHeader/>
          <w:tblCellSpacing w:w="0" w:type="dxa"/>
          <w:jc w:val="center"/>
        </w:trPr>
        <w:tc>
          <w:tcPr>
            <w:tcW w:w="1356" w:type="dxa"/>
            <w:shd w:val="clear" w:color="auto" w:fill="C0C0C0"/>
          </w:tcPr>
          <w:p w:rsidR="00A65CA6" w:rsidRPr="00EF5A69" w:rsidRDefault="00A65CA6" w:rsidP="00BE64E2">
            <w:pPr>
              <w:pStyle w:val="Tablehead"/>
            </w:pPr>
            <w:r w:rsidRPr="00EF5A69">
              <w:t>ITU-R</w:t>
            </w:r>
            <w:r w:rsidRPr="00EF5A69">
              <w:br/>
              <w:t>G</w:t>
            </w:r>
            <w:r w:rsidR="00BE64E2" w:rsidRPr="00EF5A69">
              <w:t>roup</w:t>
            </w:r>
          </w:p>
        </w:tc>
        <w:tc>
          <w:tcPr>
            <w:tcW w:w="509" w:type="dxa"/>
            <w:shd w:val="clear" w:color="auto" w:fill="C0C0C0"/>
          </w:tcPr>
          <w:p w:rsidR="00A65CA6" w:rsidRPr="00EF5A69" w:rsidRDefault="00A65CA6" w:rsidP="00BE64E2">
            <w:pPr>
              <w:pStyle w:val="Tablehead"/>
            </w:pPr>
            <w:r w:rsidRPr="00EF5A69">
              <w:t>No.</w:t>
            </w:r>
          </w:p>
        </w:tc>
        <w:tc>
          <w:tcPr>
            <w:tcW w:w="1171" w:type="dxa"/>
            <w:shd w:val="clear" w:color="auto" w:fill="C0C0C0"/>
          </w:tcPr>
          <w:p w:rsidR="00A65CA6" w:rsidRPr="00EF5A69" w:rsidRDefault="00A65CA6" w:rsidP="00BE64E2">
            <w:pPr>
              <w:pStyle w:val="Tablehead"/>
            </w:pPr>
            <w:r w:rsidRPr="00EF5A69">
              <w:t>S</w:t>
            </w:r>
            <w:r w:rsidR="00BE64E2" w:rsidRPr="00EF5A69">
              <w:t>tart</w:t>
            </w:r>
          </w:p>
          <w:p w:rsidR="00A65CA6" w:rsidRPr="00EF5A69" w:rsidRDefault="00A65CA6" w:rsidP="00BE64E2">
            <w:pPr>
              <w:pStyle w:val="Tablehead"/>
            </w:pPr>
            <w:r w:rsidRPr="00EF5A69">
              <w:t>(planned)</w:t>
            </w:r>
          </w:p>
        </w:tc>
        <w:tc>
          <w:tcPr>
            <w:tcW w:w="1273" w:type="dxa"/>
            <w:shd w:val="clear" w:color="auto" w:fill="C0C0C0"/>
          </w:tcPr>
          <w:p w:rsidR="00A65CA6" w:rsidRPr="00EF5A69" w:rsidRDefault="00A65CA6" w:rsidP="00BE64E2">
            <w:pPr>
              <w:pStyle w:val="Tablehead"/>
            </w:pPr>
            <w:r w:rsidRPr="00EF5A69">
              <w:t>S</w:t>
            </w:r>
            <w:r w:rsidR="00BE64E2" w:rsidRPr="00EF5A69">
              <w:t>top</w:t>
            </w:r>
          </w:p>
          <w:p w:rsidR="00A65CA6" w:rsidRPr="00EF5A69" w:rsidRDefault="00A65CA6" w:rsidP="00BE64E2">
            <w:pPr>
              <w:pStyle w:val="Tablehead"/>
            </w:pPr>
            <w:r w:rsidRPr="00EF5A69">
              <w:t>(planned)</w:t>
            </w:r>
          </w:p>
        </w:tc>
        <w:tc>
          <w:tcPr>
            <w:tcW w:w="216" w:type="dxa"/>
            <w:shd w:val="clear" w:color="auto" w:fill="C0C0C0"/>
          </w:tcPr>
          <w:p w:rsidR="00A65CA6" w:rsidRPr="00EF5A69" w:rsidRDefault="00A65CA6" w:rsidP="00BE64E2">
            <w:pPr>
              <w:pStyle w:val="Tablehead"/>
            </w:pPr>
          </w:p>
        </w:tc>
        <w:tc>
          <w:tcPr>
            <w:tcW w:w="2565" w:type="dxa"/>
            <w:shd w:val="clear" w:color="auto" w:fill="C0C0C0"/>
          </w:tcPr>
          <w:p w:rsidR="00A65CA6" w:rsidRPr="00EF5A69" w:rsidRDefault="00A65CA6" w:rsidP="00BE64E2">
            <w:pPr>
              <w:pStyle w:val="Tablehead"/>
            </w:pPr>
            <w:r w:rsidRPr="00EF5A69">
              <w:t>D</w:t>
            </w:r>
            <w:r w:rsidR="00BE64E2" w:rsidRPr="00EF5A69">
              <w:t>eadline for</w:t>
            </w:r>
            <w:r w:rsidRPr="00EF5A69">
              <w:t xml:space="preserve"> I</w:t>
            </w:r>
            <w:r w:rsidR="00BE64E2" w:rsidRPr="00EF5A69">
              <w:t>nputs</w:t>
            </w:r>
          </w:p>
        </w:tc>
        <w:tc>
          <w:tcPr>
            <w:tcW w:w="2320" w:type="dxa"/>
            <w:shd w:val="clear" w:color="auto" w:fill="C0C0C0"/>
          </w:tcPr>
          <w:p w:rsidR="00A65CA6" w:rsidRPr="00EF5A69" w:rsidRDefault="00A65CA6" w:rsidP="00BE64E2">
            <w:pPr>
              <w:pStyle w:val="Tablehead"/>
            </w:pPr>
            <w:r>
              <w:t>R</w:t>
            </w:r>
            <w:r w:rsidR="00BE64E2">
              <w:t>equested from</w:t>
            </w:r>
            <w:r w:rsidR="00BE64E2">
              <w:br/>
            </w:r>
            <w:r>
              <w:t xml:space="preserve">3GPP </w:t>
            </w:r>
            <w:r w:rsidR="00BE64E2">
              <w:t>and</w:t>
            </w:r>
            <w:r>
              <w:t xml:space="preserve"> IEEE</w:t>
            </w:r>
          </w:p>
        </w:tc>
      </w:tr>
      <w:tr w:rsidR="00A65CA6" w:rsidRPr="00EF5A69" w:rsidTr="00A65CA6">
        <w:trPr>
          <w:tblCellSpacing w:w="0" w:type="dxa"/>
          <w:jc w:val="center"/>
        </w:trPr>
        <w:tc>
          <w:tcPr>
            <w:tcW w:w="1356" w:type="dxa"/>
            <w:shd w:val="clear" w:color="auto" w:fill="FFFFFF"/>
          </w:tcPr>
          <w:p w:rsidR="00A65CA6" w:rsidRPr="00EF5A69" w:rsidRDefault="00A65CA6" w:rsidP="00BE64E2">
            <w:pPr>
              <w:pStyle w:val="Tabletext"/>
              <w:jc w:val="center"/>
            </w:pPr>
            <w:r w:rsidRPr="00EF5A69">
              <w:t>WP 5D</w:t>
            </w:r>
          </w:p>
        </w:tc>
        <w:tc>
          <w:tcPr>
            <w:tcW w:w="509" w:type="dxa"/>
            <w:shd w:val="clear" w:color="auto" w:fill="FFFFFF"/>
          </w:tcPr>
          <w:p w:rsidR="00A65CA6" w:rsidRPr="00EF5A69" w:rsidRDefault="00A65CA6" w:rsidP="00BE64E2">
            <w:pPr>
              <w:pStyle w:val="Tabletext"/>
              <w:jc w:val="center"/>
              <w:rPr>
                <w:color w:val="000000"/>
              </w:rPr>
            </w:pPr>
            <w:r w:rsidRPr="00EF5A69">
              <w:rPr>
                <w:color w:val="000000"/>
              </w:rPr>
              <w:t>13</w:t>
            </w:r>
          </w:p>
        </w:tc>
        <w:tc>
          <w:tcPr>
            <w:tcW w:w="1171" w:type="dxa"/>
            <w:shd w:val="clear" w:color="auto" w:fill="FFFFFF"/>
          </w:tcPr>
          <w:p w:rsidR="00A65CA6" w:rsidRPr="00EF5A69" w:rsidRDefault="00A65CA6" w:rsidP="00BE64E2">
            <w:pPr>
              <w:pStyle w:val="Tabletext"/>
              <w:jc w:val="center"/>
              <w:rPr>
                <w:color w:val="000000"/>
              </w:rPr>
            </w:pPr>
            <w:r w:rsidRPr="00EF5A69">
              <w:rPr>
                <w:color w:val="000000"/>
              </w:rPr>
              <w:t>16 July 12</w:t>
            </w:r>
          </w:p>
        </w:tc>
        <w:tc>
          <w:tcPr>
            <w:tcW w:w="1273" w:type="dxa"/>
            <w:shd w:val="clear" w:color="auto" w:fill="FFFFFF"/>
          </w:tcPr>
          <w:p w:rsidR="00A65CA6" w:rsidRPr="00EF5A69" w:rsidRDefault="00A65CA6" w:rsidP="00BE64E2">
            <w:pPr>
              <w:pStyle w:val="Tabletext"/>
              <w:jc w:val="center"/>
              <w:rPr>
                <w:color w:val="000000"/>
              </w:rPr>
            </w:pPr>
            <w:r w:rsidRPr="00EF5A69">
              <w:rPr>
                <w:color w:val="000000"/>
              </w:rPr>
              <w:t>20 July 12</w:t>
            </w:r>
          </w:p>
        </w:tc>
        <w:tc>
          <w:tcPr>
            <w:tcW w:w="216" w:type="dxa"/>
            <w:shd w:val="clear" w:color="auto" w:fill="FFFFFF"/>
          </w:tcPr>
          <w:p w:rsidR="00A65CA6" w:rsidRPr="00EF5A69" w:rsidRDefault="00A65CA6" w:rsidP="00BE64E2">
            <w:pPr>
              <w:pStyle w:val="Tabletext"/>
              <w:jc w:val="center"/>
              <w:rPr>
                <w:color w:val="000000"/>
              </w:rPr>
            </w:pPr>
          </w:p>
        </w:tc>
        <w:tc>
          <w:tcPr>
            <w:tcW w:w="2565" w:type="dxa"/>
            <w:shd w:val="clear" w:color="auto" w:fill="FFFFFF"/>
          </w:tcPr>
          <w:p w:rsidR="00A65CA6" w:rsidRPr="00EF5A69" w:rsidRDefault="00A65CA6" w:rsidP="00BE64E2">
            <w:pPr>
              <w:pStyle w:val="Tabletext"/>
              <w:jc w:val="center"/>
              <w:rPr>
                <w:color w:val="000000"/>
              </w:rPr>
            </w:pPr>
          </w:p>
        </w:tc>
        <w:tc>
          <w:tcPr>
            <w:tcW w:w="2320" w:type="dxa"/>
            <w:shd w:val="clear" w:color="auto" w:fill="FFFFFF"/>
          </w:tcPr>
          <w:p w:rsidR="00A65CA6" w:rsidRPr="00EF5A69" w:rsidRDefault="00A65CA6" w:rsidP="00BE64E2">
            <w:pPr>
              <w:pStyle w:val="Tabletext"/>
              <w:jc w:val="center"/>
              <w:rPr>
                <w:color w:val="000000"/>
              </w:rPr>
            </w:pPr>
          </w:p>
        </w:tc>
      </w:tr>
      <w:tr w:rsidR="00A65CA6" w:rsidRPr="00EF5A69" w:rsidTr="00A65CA6">
        <w:trPr>
          <w:tblCellSpacing w:w="0" w:type="dxa"/>
          <w:jc w:val="center"/>
        </w:trPr>
        <w:tc>
          <w:tcPr>
            <w:tcW w:w="1356" w:type="dxa"/>
            <w:shd w:val="clear" w:color="auto" w:fill="FFFFFF"/>
          </w:tcPr>
          <w:p w:rsidR="00A65CA6" w:rsidRPr="00EF5A69" w:rsidRDefault="00A65CA6" w:rsidP="00BE64E2">
            <w:pPr>
              <w:pStyle w:val="Tabletext"/>
              <w:jc w:val="center"/>
              <w:rPr>
                <w:b/>
              </w:rPr>
            </w:pPr>
            <w:r w:rsidRPr="00EF5A69">
              <w:rPr>
                <w:b/>
              </w:rPr>
              <w:t>WP 5D</w:t>
            </w:r>
          </w:p>
        </w:tc>
        <w:tc>
          <w:tcPr>
            <w:tcW w:w="509" w:type="dxa"/>
            <w:shd w:val="clear" w:color="auto" w:fill="FFFFFF"/>
          </w:tcPr>
          <w:p w:rsidR="00A65CA6" w:rsidRPr="00EF5A69" w:rsidRDefault="00A65CA6" w:rsidP="00BE64E2">
            <w:pPr>
              <w:pStyle w:val="Tabletext"/>
              <w:jc w:val="center"/>
              <w:rPr>
                <w:b/>
                <w:color w:val="000000"/>
              </w:rPr>
            </w:pPr>
            <w:r w:rsidRPr="00EF5A69">
              <w:rPr>
                <w:b/>
                <w:color w:val="000000"/>
              </w:rPr>
              <w:t>14</w:t>
            </w:r>
          </w:p>
        </w:tc>
        <w:tc>
          <w:tcPr>
            <w:tcW w:w="1171" w:type="dxa"/>
            <w:shd w:val="clear" w:color="auto" w:fill="FFFFFF"/>
          </w:tcPr>
          <w:p w:rsidR="00A65CA6" w:rsidRPr="00EF5A69" w:rsidRDefault="00A65CA6" w:rsidP="00BE64E2">
            <w:pPr>
              <w:pStyle w:val="Tabletext"/>
              <w:jc w:val="center"/>
              <w:rPr>
                <w:b/>
                <w:color w:val="000000"/>
              </w:rPr>
            </w:pPr>
            <w:r w:rsidRPr="00EF5A69">
              <w:rPr>
                <w:b/>
                <w:color w:val="000000"/>
              </w:rPr>
              <w:t>3 Oct. 12</w:t>
            </w:r>
          </w:p>
        </w:tc>
        <w:tc>
          <w:tcPr>
            <w:tcW w:w="1273" w:type="dxa"/>
            <w:shd w:val="clear" w:color="auto" w:fill="FFFFFF"/>
          </w:tcPr>
          <w:p w:rsidR="00A65CA6" w:rsidRPr="00EF5A69" w:rsidRDefault="00A65CA6" w:rsidP="00BE64E2">
            <w:pPr>
              <w:pStyle w:val="Tabletext"/>
              <w:jc w:val="center"/>
              <w:rPr>
                <w:b/>
                <w:color w:val="000000"/>
              </w:rPr>
            </w:pPr>
            <w:r w:rsidRPr="00EF5A69">
              <w:rPr>
                <w:b/>
                <w:color w:val="000000"/>
              </w:rPr>
              <w:t>11 Oct. 12</w:t>
            </w:r>
          </w:p>
        </w:tc>
        <w:tc>
          <w:tcPr>
            <w:tcW w:w="216" w:type="dxa"/>
            <w:shd w:val="clear" w:color="auto" w:fill="FFFFFF"/>
          </w:tcPr>
          <w:p w:rsidR="00A65CA6" w:rsidRPr="00EF5A69" w:rsidRDefault="00A65CA6" w:rsidP="00BE64E2">
            <w:pPr>
              <w:pStyle w:val="Tabletext"/>
              <w:jc w:val="center"/>
              <w:rPr>
                <w:b/>
                <w:color w:val="000000"/>
              </w:rPr>
            </w:pPr>
          </w:p>
        </w:tc>
        <w:tc>
          <w:tcPr>
            <w:tcW w:w="2565" w:type="dxa"/>
            <w:shd w:val="clear" w:color="auto" w:fill="FFFFFF"/>
          </w:tcPr>
          <w:p w:rsidR="00A65CA6" w:rsidRPr="00EF5A69" w:rsidRDefault="00A65CA6" w:rsidP="00BE64E2">
            <w:pPr>
              <w:pStyle w:val="Tabletext"/>
              <w:jc w:val="center"/>
              <w:rPr>
                <w:b/>
                <w:color w:val="000000"/>
              </w:rPr>
            </w:pPr>
            <w:r w:rsidRPr="00EF5A69">
              <w:rPr>
                <w:b/>
                <w:color w:val="000000"/>
              </w:rPr>
              <w:t xml:space="preserve">26 September 2012 </w:t>
            </w:r>
            <w:r w:rsidRPr="00EF5A69">
              <w:rPr>
                <w:b/>
                <w:color w:val="000000"/>
              </w:rPr>
              <w:br/>
              <w:t>@ 16:00 hours UTC</w:t>
            </w:r>
          </w:p>
        </w:tc>
        <w:tc>
          <w:tcPr>
            <w:tcW w:w="2320" w:type="dxa"/>
            <w:shd w:val="clear" w:color="auto" w:fill="FFFFFF"/>
          </w:tcPr>
          <w:p w:rsidR="00A65CA6" w:rsidRPr="00EF5A69" w:rsidRDefault="00A65CA6" w:rsidP="00BE64E2">
            <w:pPr>
              <w:pStyle w:val="Tabletext"/>
              <w:jc w:val="center"/>
              <w:rPr>
                <w:b/>
                <w:color w:val="000000"/>
              </w:rPr>
            </w:pPr>
            <w:r>
              <w:rPr>
                <w:b/>
                <w:color w:val="000000"/>
              </w:rPr>
              <w:t>Part 1 Information</w:t>
            </w:r>
          </w:p>
        </w:tc>
      </w:tr>
      <w:tr w:rsidR="00A65CA6" w:rsidRPr="00EF5A69" w:rsidTr="00A65CA6">
        <w:trPr>
          <w:tblCellSpacing w:w="0" w:type="dxa"/>
          <w:jc w:val="center"/>
        </w:trPr>
        <w:tc>
          <w:tcPr>
            <w:tcW w:w="1356" w:type="dxa"/>
            <w:shd w:val="clear" w:color="auto" w:fill="FFFFFF"/>
          </w:tcPr>
          <w:p w:rsidR="00A65CA6" w:rsidRPr="00EF5A69" w:rsidRDefault="00A65CA6" w:rsidP="00BE64E2">
            <w:pPr>
              <w:pStyle w:val="Tabletext"/>
              <w:jc w:val="center"/>
            </w:pPr>
            <w:r w:rsidRPr="00EF5A69">
              <w:t>WP 5D</w:t>
            </w:r>
          </w:p>
        </w:tc>
        <w:tc>
          <w:tcPr>
            <w:tcW w:w="509" w:type="dxa"/>
            <w:shd w:val="clear" w:color="auto" w:fill="FFFFFF"/>
          </w:tcPr>
          <w:p w:rsidR="00A65CA6" w:rsidRPr="00EF5A69" w:rsidRDefault="00A65CA6" w:rsidP="00BE64E2">
            <w:pPr>
              <w:pStyle w:val="Tabletext"/>
              <w:jc w:val="center"/>
              <w:rPr>
                <w:color w:val="000000"/>
              </w:rPr>
            </w:pPr>
            <w:r w:rsidRPr="00EF5A69">
              <w:rPr>
                <w:color w:val="000000"/>
              </w:rPr>
              <w:t>15</w:t>
            </w:r>
          </w:p>
        </w:tc>
        <w:tc>
          <w:tcPr>
            <w:tcW w:w="1171" w:type="dxa"/>
            <w:shd w:val="clear" w:color="auto" w:fill="FFFFFF"/>
          </w:tcPr>
          <w:p w:rsidR="00A65CA6" w:rsidRPr="00EF5A69" w:rsidRDefault="00A65CA6" w:rsidP="00BE64E2">
            <w:pPr>
              <w:pStyle w:val="Tabletext"/>
              <w:jc w:val="center"/>
              <w:rPr>
                <w:color w:val="000000"/>
              </w:rPr>
            </w:pPr>
            <w:r w:rsidRPr="00EF5A69">
              <w:rPr>
                <w:color w:val="000000"/>
              </w:rPr>
              <w:t>30 Jan 13</w:t>
            </w:r>
          </w:p>
          <w:p w:rsidR="00A65CA6" w:rsidRPr="00EF5A69" w:rsidRDefault="00A65CA6" w:rsidP="00BE64E2">
            <w:pPr>
              <w:pStyle w:val="Tabletext"/>
              <w:jc w:val="center"/>
              <w:rPr>
                <w:strike/>
                <w:color w:val="000000"/>
              </w:rPr>
            </w:pPr>
            <w:r w:rsidRPr="00EF5A69">
              <w:rPr>
                <w:strike/>
                <w:color w:val="000000"/>
              </w:rPr>
              <w:t>6 Feb. 13</w:t>
            </w:r>
          </w:p>
        </w:tc>
        <w:tc>
          <w:tcPr>
            <w:tcW w:w="1273" w:type="dxa"/>
            <w:shd w:val="clear" w:color="auto" w:fill="FFFFFF"/>
          </w:tcPr>
          <w:p w:rsidR="00A65CA6" w:rsidRPr="00EF5A69" w:rsidRDefault="00A65CA6" w:rsidP="00BE64E2">
            <w:pPr>
              <w:pStyle w:val="Tabletext"/>
              <w:jc w:val="center"/>
              <w:rPr>
                <w:color w:val="000000"/>
              </w:rPr>
            </w:pPr>
            <w:r w:rsidRPr="00EF5A69">
              <w:rPr>
                <w:color w:val="000000"/>
              </w:rPr>
              <w:t>6 Feb 13</w:t>
            </w:r>
          </w:p>
          <w:p w:rsidR="00A65CA6" w:rsidRPr="00EF5A69" w:rsidRDefault="00A65CA6" w:rsidP="00BE64E2">
            <w:pPr>
              <w:pStyle w:val="Tabletext"/>
              <w:jc w:val="center"/>
              <w:rPr>
                <w:strike/>
                <w:color w:val="000000"/>
              </w:rPr>
            </w:pPr>
            <w:r w:rsidRPr="00EF5A69">
              <w:rPr>
                <w:strike/>
                <w:color w:val="000000"/>
              </w:rPr>
              <w:t>13 Feb. 13</w:t>
            </w:r>
          </w:p>
        </w:tc>
        <w:tc>
          <w:tcPr>
            <w:tcW w:w="216" w:type="dxa"/>
            <w:shd w:val="clear" w:color="auto" w:fill="FFFFFF"/>
          </w:tcPr>
          <w:p w:rsidR="00A65CA6" w:rsidRPr="00EF5A69" w:rsidRDefault="00A65CA6" w:rsidP="00BE64E2">
            <w:pPr>
              <w:pStyle w:val="Tabletext"/>
              <w:jc w:val="center"/>
              <w:rPr>
                <w:color w:val="000000"/>
              </w:rPr>
            </w:pPr>
          </w:p>
        </w:tc>
        <w:tc>
          <w:tcPr>
            <w:tcW w:w="2565" w:type="dxa"/>
            <w:shd w:val="clear" w:color="auto" w:fill="FFFFFF"/>
          </w:tcPr>
          <w:p w:rsidR="00A65CA6" w:rsidRPr="00EF5A69" w:rsidRDefault="00A65CA6" w:rsidP="00BE64E2">
            <w:pPr>
              <w:pStyle w:val="Tabletext"/>
              <w:jc w:val="center"/>
              <w:rPr>
                <w:color w:val="000000"/>
              </w:rPr>
            </w:pPr>
            <w:r w:rsidRPr="00EF5A69">
              <w:rPr>
                <w:color w:val="000000"/>
              </w:rPr>
              <w:t xml:space="preserve">23 January 2013 </w:t>
            </w:r>
            <w:r w:rsidRPr="00EF5A69">
              <w:rPr>
                <w:color w:val="000000"/>
              </w:rPr>
              <w:br/>
              <w:t>@ 16:00 hours UTC</w:t>
            </w:r>
          </w:p>
        </w:tc>
        <w:tc>
          <w:tcPr>
            <w:tcW w:w="2320" w:type="dxa"/>
            <w:shd w:val="clear" w:color="auto" w:fill="FFFFFF"/>
          </w:tcPr>
          <w:p w:rsidR="00A65CA6" w:rsidRPr="00EF5A69" w:rsidRDefault="00A65CA6" w:rsidP="00BE64E2">
            <w:pPr>
              <w:pStyle w:val="Tabletext"/>
              <w:jc w:val="center"/>
              <w:rPr>
                <w:color w:val="000000"/>
              </w:rPr>
            </w:pPr>
          </w:p>
        </w:tc>
      </w:tr>
      <w:tr w:rsidR="00A65CA6" w:rsidRPr="00EF5A69" w:rsidTr="00A65CA6">
        <w:trPr>
          <w:tblCellSpacing w:w="0" w:type="dxa"/>
          <w:jc w:val="center"/>
        </w:trPr>
        <w:tc>
          <w:tcPr>
            <w:tcW w:w="1356" w:type="dxa"/>
            <w:shd w:val="clear" w:color="auto" w:fill="FFFFFF"/>
          </w:tcPr>
          <w:p w:rsidR="00A65CA6" w:rsidRPr="00EF5A69" w:rsidRDefault="00A65CA6" w:rsidP="00BE64E2">
            <w:pPr>
              <w:pStyle w:val="Tabletext"/>
              <w:jc w:val="center"/>
              <w:rPr>
                <w:b/>
              </w:rPr>
            </w:pPr>
            <w:r w:rsidRPr="00EF5A69">
              <w:rPr>
                <w:b/>
              </w:rPr>
              <w:t>WP 5D</w:t>
            </w:r>
          </w:p>
        </w:tc>
        <w:tc>
          <w:tcPr>
            <w:tcW w:w="509" w:type="dxa"/>
            <w:shd w:val="clear" w:color="auto" w:fill="FFFFFF"/>
          </w:tcPr>
          <w:p w:rsidR="00A65CA6" w:rsidRPr="00EF5A69" w:rsidRDefault="00A65CA6" w:rsidP="00BE64E2">
            <w:pPr>
              <w:pStyle w:val="Tabletext"/>
              <w:jc w:val="center"/>
              <w:rPr>
                <w:b/>
                <w:color w:val="000000"/>
              </w:rPr>
            </w:pPr>
            <w:r w:rsidRPr="00EF5A69">
              <w:rPr>
                <w:b/>
                <w:color w:val="000000"/>
              </w:rPr>
              <w:t>16</w:t>
            </w:r>
          </w:p>
        </w:tc>
        <w:tc>
          <w:tcPr>
            <w:tcW w:w="1171" w:type="dxa"/>
            <w:shd w:val="clear" w:color="auto" w:fill="FFFFFF"/>
          </w:tcPr>
          <w:p w:rsidR="00A65CA6" w:rsidRPr="00EF5A69" w:rsidRDefault="00A65CA6" w:rsidP="00BE64E2">
            <w:pPr>
              <w:pStyle w:val="Tabletext"/>
              <w:jc w:val="center"/>
              <w:rPr>
                <w:b/>
                <w:color w:val="000000"/>
              </w:rPr>
            </w:pPr>
            <w:r w:rsidRPr="00EF5A69">
              <w:rPr>
                <w:b/>
                <w:color w:val="000000"/>
              </w:rPr>
              <w:t>10 Jul. 13</w:t>
            </w:r>
          </w:p>
        </w:tc>
        <w:tc>
          <w:tcPr>
            <w:tcW w:w="1273" w:type="dxa"/>
            <w:shd w:val="clear" w:color="auto" w:fill="FFFFFF"/>
          </w:tcPr>
          <w:p w:rsidR="00A65CA6" w:rsidRPr="00EF5A69" w:rsidRDefault="00A65CA6" w:rsidP="00BE64E2">
            <w:pPr>
              <w:pStyle w:val="Tabletext"/>
              <w:jc w:val="center"/>
              <w:rPr>
                <w:b/>
                <w:color w:val="000000"/>
              </w:rPr>
            </w:pPr>
            <w:r w:rsidRPr="00EF5A69">
              <w:rPr>
                <w:b/>
                <w:color w:val="000000"/>
              </w:rPr>
              <w:t>17 Jul. 13</w:t>
            </w:r>
          </w:p>
        </w:tc>
        <w:tc>
          <w:tcPr>
            <w:tcW w:w="216" w:type="dxa"/>
            <w:shd w:val="clear" w:color="auto" w:fill="FFFFFF"/>
          </w:tcPr>
          <w:p w:rsidR="00A65CA6" w:rsidRPr="00EF5A69" w:rsidRDefault="00A65CA6" w:rsidP="00BE64E2">
            <w:pPr>
              <w:pStyle w:val="Tabletext"/>
              <w:jc w:val="center"/>
              <w:rPr>
                <w:b/>
                <w:color w:val="000000"/>
              </w:rPr>
            </w:pPr>
          </w:p>
        </w:tc>
        <w:tc>
          <w:tcPr>
            <w:tcW w:w="2565" w:type="dxa"/>
            <w:shd w:val="clear" w:color="auto" w:fill="FFFFFF"/>
          </w:tcPr>
          <w:p w:rsidR="00A65CA6" w:rsidRPr="00EF5A69" w:rsidRDefault="00A65CA6" w:rsidP="00BE64E2">
            <w:pPr>
              <w:pStyle w:val="Tabletext"/>
              <w:jc w:val="center"/>
              <w:rPr>
                <w:b/>
                <w:color w:val="000000"/>
              </w:rPr>
            </w:pPr>
            <w:r w:rsidRPr="00EF5A69">
              <w:rPr>
                <w:b/>
                <w:color w:val="000000"/>
              </w:rPr>
              <w:t xml:space="preserve">3 July 2013 </w:t>
            </w:r>
            <w:r w:rsidRPr="00EF5A69">
              <w:rPr>
                <w:b/>
                <w:color w:val="000000"/>
              </w:rPr>
              <w:br/>
              <w:t>@ 16:00 hours UTC</w:t>
            </w:r>
          </w:p>
        </w:tc>
        <w:tc>
          <w:tcPr>
            <w:tcW w:w="2320" w:type="dxa"/>
            <w:shd w:val="clear" w:color="auto" w:fill="FFFFFF"/>
          </w:tcPr>
          <w:p w:rsidR="00A65CA6" w:rsidRDefault="00A65CA6" w:rsidP="00BE64E2">
            <w:pPr>
              <w:pStyle w:val="Tabletext"/>
              <w:jc w:val="center"/>
              <w:rPr>
                <w:b/>
                <w:color w:val="000000"/>
              </w:rPr>
            </w:pPr>
            <w:r>
              <w:rPr>
                <w:b/>
                <w:color w:val="000000"/>
              </w:rPr>
              <w:t>Part 1 Information (updated if needed)</w:t>
            </w:r>
          </w:p>
          <w:p w:rsidR="00A65CA6" w:rsidRDefault="00A65CA6" w:rsidP="00BE64E2">
            <w:pPr>
              <w:pStyle w:val="Tabletext"/>
              <w:jc w:val="center"/>
              <w:rPr>
                <w:b/>
                <w:color w:val="000000"/>
              </w:rPr>
            </w:pPr>
            <w:r>
              <w:rPr>
                <w:b/>
                <w:color w:val="000000"/>
              </w:rPr>
              <w:t>&amp;</w:t>
            </w:r>
          </w:p>
          <w:p w:rsidR="00A65CA6" w:rsidRDefault="00A65CA6" w:rsidP="00BE64E2">
            <w:pPr>
              <w:pStyle w:val="Tabletext"/>
              <w:jc w:val="center"/>
              <w:rPr>
                <w:b/>
                <w:color w:val="000000"/>
              </w:rPr>
            </w:pPr>
            <w:r>
              <w:rPr>
                <w:b/>
                <w:color w:val="000000"/>
              </w:rPr>
              <w:t>Part 2 Information</w:t>
            </w:r>
          </w:p>
          <w:p w:rsidR="00A65CA6" w:rsidRPr="00EF5A69" w:rsidRDefault="00A65CA6" w:rsidP="00BE64E2">
            <w:pPr>
              <w:pStyle w:val="Tabletext"/>
              <w:jc w:val="center"/>
              <w:rPr>
                <w:color w:val="000000"/>
              </w:rPr>
            </w:pPr>
          </w:p>
        </w:tc>
      </w:tr>
    </w:tbl>
    <w:p w:rsidR="00A65CA6" w:rsidRPr="00C829B9" w:rsidRDefault="00A65CA6" w:rsidP="00A65CA6">
      <w:pPr>
        <w:rPr>
          <w:szCs w:val="24"/>
        </w:rPr>
      </w:pPr>
    </w:p>
    <w:p w:rsidR="00A65CA6" w:rsidRDefault="00A65CA6" w:rsidP="00BE64E2">
      <w:r w:rsidRPr="00C829B9">
        <w:t>The contact for this liaison is:</w:t>
      </w:r>
    </w:p>
    <w:p w:rsidR="00A65CA6" w:rsidRPr="00C829B9" w:rsidRDefault="00BE64E2" w:rsidP="00BE64E2">
      <w:pPr>
        <w:ind w:left="540"/>
        <w:rPr>
          <w:szCs w:val="24"/>
        </w:rPr>
      </w:pPr>
      <w:r>
        <w:rPr>
          <w:szCs w:val="24"/>
        </w:rPr>
        <w:t>Mr. Alan JAMIESON</w:t>
      </w:r>
      <w:r>
        <w:rPr>
          <w:szCs w:val="24"/>
        </w:rPr>
        <w:tab/>
      </w:r>
      <w:r>
        <w:rPr>
          <w:szCs w:val="24"/>
        </w:rPr>
        <w:tab/>
      </w:r>
      <w:r>
        <w:rPr>
          <w:szCs w:val="24"/>
        </w:rPr>
        <w:tab/>
      </w:r>
      <w:r>
        <w:rPr>
          <w:szCs w:val="24"/>
        </w:rPr>
        <w:tab/>
        <w:t xml:space="preserve">E-mail:  </w:t>
      </w:r>
      <w:hyperlink r:id="rId11" w:history="1">
        <w:r w:rsidR="009E483E" w:rsidRPr="0007610A">
          <w:rPr>
            <w:rStyle w:val="Hyperlink"/>
            <w:lang w:val="en-US"/>
          </w:rPr>
          <w:t>ajamieson@ava.co.nz</w:t>
        </w:r>
      </w:hyperlink>
    </w:p>
    <w:p w:rsidR="00A65CA6" w:rsidRPr="00C829B9" w:rsidRDefault="00A65CA6" w:rsidP="00BE64E2">
      <w:pPr>
        <w:rPr>
          <w:szCs w:val="24"/>
        </w:rPr>
      </w:pPr>
      <w:r w:rsidRPr="00C829B9">
        <w:rPr>
          <w:szCs w:val="24"/>
        </w:rPr>
        <w:t>Reply liaison</w:t>
      </w:r>
      <w:r>
        <w:rPr>
          <w:szCs w:val="24"/>
        </w:rPr>
        <w:t>s should be addressed to</w:t>
      </w:r>
      <w:r w:rsidRPr="00C829B9">
        <w:rPr>
          <w:szCs w:val="24"/>
        </w:rPr>
        <w:t xml:space="preserve"> WP 5D and (if necessary for </w:t>
      </w:r>
      <w:r>
        <w:rPr>
          <w:szCs w:val="24"/>
        </w:rPr>
        <w:t>Part</w:t>
      </w:r>
      <w:r w:rsidRPr="00C829B9">
        <w:rPr>
          <w:szCs w:val="24"/>
        </w:rPr>
        <w:t xml:space="preserve"> 1 alternate approach the JTG-4-5-6-7) </w:t>
      </w:r>
      <w:r>
        <w:rPr>
          <w:szCs w:val="24"/>
        </w:rPr>
        <w:t>and dispatched to</w:t>
      </w:r>
      <w:r w:rsidRPr="00C829B9">
        <w:rPr>
          <w:szCs w:val="24"/>
        </w:rPr>
        <w:t>:</w:t>
      </w:r>
    </w:p>
    <w:p w:rsidR="00A65CA6" w:rsidRPr="00C829B9" w:rsidRDefault="00BE64E2" w:rsidP="00E06013">
      <w:pPr>
        <w:ind w:left="540" w:right="-284"/>
        <w:rPr>
          <w:szCs w:val="24"/>
        </w:rPr>
      </w:pPr>
      <w:r>
        <w:rPr>
          <w:szCs w:val="24"/>
        </w:rPr>
        <w:t>WP 5D:</w:t>
      </w:r>
      <w:r>
        <w:rPr>
          <w:szCs w:val="24"/>
        </w:rPr>
        <w:tab/>
      </w:r>
      <w:r>
        <w:rPr>
          <w:szCs w:val="24"/>
        </w:rPr>
        <w:tab/>
      </w:r>
      <w:proofErr w:type="spellStart"/>
      <w:r w:rsidR="00A65CA6" w:rsidRPr="00C829B9">
        <w:rPr>
          <w:szCs w:val="24"/>
        </w:rPr>
        <w:t>Mr.</w:t>
      </w:r>
      <w:proofErr w:type="spellEnd"/>
      <w:r w:rsidR="00A65CA6" w:rsidRPr="00C829B9">
        <w:rPr>
          <w:szCs w:val="24"/>
        </w:rPr>
        <w:t xml:space="preserve"> Sergio BUON</w:t>
      </w:r>
      <w:r>
        <w:rPr>
          <w:szCs w:val="24"/>
        </w:rPr>
        <w:t>OMO</w:t>
      </w:r>
      <w:r w:rsidR="00E06013">
        <w:rPr>
          <w:szCs w:val="24"/>
        </w:rPr>
        <w:t>,</w:t>
      </w:r>
      <w:r>
        <w:rPr>
          <w:szCs w:val="24"/>
        </w:rPr>
        <w:t xml:space="preserve"> Counsellor for Study Group 5 and Working Party 5D</w:t>
      </w:r>
      <w:r>
        <w:rPr>
          <w:szCs w:val="24"/>
        </w:rPr>
        <w:br/>
      </w:r>
      <w:r>
        <w:rPr>
          <w:szCs w:val="24"/>
        </w:rPr>
        <w:tab/>
      </w:r>
      <w:r>
        <w:rPr>
          <w:szCs w:val="24"/>
        </w:rPr>
        <w:tab/>
      </w:r>
      <w:r>
        <w:rPr>
          <w:szCs w:val="24"/>
        </w:rPr>
        <w:tab/>
      </w:r>
      <w:r w:rsidRPr="00C829B9">
        <w:rPr>
          <w:szCs w:val="24"/>
        </w:rPr>
        <w:t>E</w:t>
      </w:r>
      <w:r>
        <w:rPr>
          <w:szCs w:val="24"/>
        </w:rPr>
        <w:t>-</w:t>
      </w:r>
      <w:r w:rsidR="00A65CA6" w:rsidRPr="00C829B9">
        <w:rPr>
          <w:szCs w:val="24"/>
        </w:rPr>
        <w:t xml:space="preserve">mail: </w:t>
      </w:r>
      <w:r>
        <w:rPr>
          <w:szCs w:val="24"/>
        </w:rPr>
        <w:t xml:space="preserve"> </w:t>
      </w:r>
      <w:hyperlink r:id="rId12" w:history="1">
        <w:r w:rsidRPr="00C829B9">
          <w:rPr>
            <w:rStyle w:val="Hyperlink"/>
            <w:szCs w:val="24"/>
          </w:rPr>
          <w:t>s</w:t>
        </w:r>
        <w:r w:rsidR="00A65CA6" w:rsidRPr="00C829B9">
          <w:rPr>
            <w:rStyle w:val="Hyperlink"/>
            <w:szCs w:val="24"/>
          </w:rPr>
          <w:t>ergio.buonomo@itu.int</w:t>
        </w:r>
      </w:hyperlink>
    </w:p>
    <w:p w:rsidR="00A65CA6" w:rsidRDefault="00BE64E2" w:rsidP="00E06013">
      <w:pPr>
        <w:ind w:left="540"/>
        <w:rPr>
          <w:szCs w:val="24"/>
        </w:rPr>
      </w:pPr>
      <w:r>
        <w:rPr>
          <w:szCs w:val="24"/>
        </w:rPr>
        <w:t>JTG 4-5-6-7:</w:t>
      </w:r>
      <w:r>
        <w:rPr>
          <w:szCs w:val="24"/>
        </w:rPr>
        <w:tab/>
      </w:r>
      <w:r>
        <w:rPr>
          <w:szCs w:val="24"/>
        </w:rPr>
        <w:tab/>
      </w:r>
      <w:proofErr w:type="spellStart"/>
      <w:r>
        <w:rPr>
          <w:szCs w:val="24"/>
        </w:rPr>
        <w:t>Mr.</w:t>
      </w:r>
      <w:proofErr w:type="spellEnd"/>
      <w:r>
        <w:rPr>
          <w:szCs w:val="24"/>
        </w:rPr>
        <w:t xml:space="preserve"> David BOT</w:t>
      </w:r>
      <w:r w:rsidR="00E06013">
        <w:rPr>
          <w:szCs w:val="24"/>
        </w:rPr>
        <w:t>H</w:t>
      </w:r>
      <w:r>
        <w:rPr>
          <w:szCs w:val="24"/>
        </w:rPr>
        <w:t>A, Co</w:t>
      </w:r>
      <w:r w:rsidR="00E06013">
        <w:rPr>
          <w:szCs w:val="24"/>
        </w:rPr>
        <w:t>unsellor for Joint Task Group 4-5-6-</w:t>
      </w:r>
      <w:r>
        <w:rPr>
          <w:szCs w:val="24"/>
        </w:rPr>
        <w:t>7</w:t>
      </w:r>
      <w:r>
        <w:rPr>
          <w:szCs w:val="24"/>
        </w:rPr>
        <w:br/>
      </w:r>
      <w:r>
        <w:rPr>
          <w:szCs w:val="24"/>
        </w:rPr>
        <w:tab/>
      </w:r>
      <w:r>
        <w:rPr>
          <w:szCs w:val="24"/>
        </w:rPr>
        <w:tab/>
      </w:r>
      <w:r>
        <w:rPr>
          <w:szCs w:val="24"/>
        </w:rPr>
        <w:tab/>
        <w:t xml:space="preserve">E-mail:  </w:t>
      </w:r>
      <w:hyperlink r:id="rId13" w:history="1">
        <w:r w:rsidRPr="00702F02">
          <w:rPr>
            <w:rStyle w:val="Hyperlink"/>
            <w:szCs w:val="24"/>
          </w:rPr>
          <w:t>david.botha@itu.int</w:t>
        </w:r>
      </w:hyperlink>
    </w:p>
    <w:p w:rsidR="00A65CA6" w:rsidRDefault="00A65CA6" w:rsidP="00A65CA6">
      <w:pPr>
        <w:jc w:val="center"/>
        <w:rPr>
          <w:b/>
        </w:rPr>
        <w:sectPr w:rsidR="00A65CA6" w:rsidSect="00A65CA6">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pPr>
    </w:p>
    <w:p w:rsidR="00A65CA6" w:rsidRDefault="00E06013" w:rsidP="00E06013">
      <w:pPr>
        <w:pStyle w:val="AppendixNo"/>
      </w:pPr>
      <w:r>
        <w:t>ATTACHMENT 1</w:t>
      </w:r>
    </w:p>
    <w:p w:rsidR="00A65CA6" w:rsidRPr="001044C4" w:rsidRDefault="00A65CA6" w:rsidP="00E06013">
      <w:pPr>
        <w:pStyle w:val="Appendixtitle"/>
      </w:pPr>
      <w:r>
        <w:t xml:space="preserve">Information on WRC-15 Agenda </w:t>
      </w:r>
      <w:r w:rsidR="00E06013">
        <w:t>i</w:t>
      </w:r>
      <w:r>
        <w:t>tems 1.1 and 1.2</w:t>
      </w:r>
    </w:p>
    <w:p w:rsidR="00A65CA6" w:rsidRPr="00C332C7" w:rsidRDefault="00A65CA6" w:rsidP="00A65CA6">
      <w:pPr>
        <w:rPr>
          <w:sz w:val="18"/>
          <w:szCs w:val="18"/>
        </w:rPr>
      </w:pPr>
      <w:r w:rsidRPr="00C332C7">
        <w:rPr>
          <w:sz w:val="18"/>
          <w:szCs w:val="18"/>
        </w:rPr>
        <w:t xml:space="preserve"> (Extracted from Annex 8 to Circular Letter CA/201, “Results of the first session of the Conference Preparatory Meeting for WRC</w:t>
      </w:r>
      <w:r w:rsidRPr="00C332C7">
        <w:rPr>
          <w:sz w:val="18"/>
          <w:szCs w:val="18"/>
        </w:rPr>
        <w:noBreakHyphen/>
        <w:t>15 (CPM15</w:t>
      </w:r>
      <w:r w:rsidRPr="00C332C7">
        <w:rPr>
          <w:sz w:val="18"/>
          <w:szCs w:val="18"/>
        </w:rPr>
        <w:noBreakHyphen/>
        <w:t>1)”)</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5"/>
        <w:gridCol w:w="1488"/>
        <w:gridCol w:w="8413"/>
        <w:gridCol w:w="1243"/>
      </w:tblGrid>
      <w:tr w:rsidR="00A65CA6" w:rsidRPr="002A2FEF" w:rsidTr="00A65CA6">
        <w:trPr>
          <w:cantSplit/>
          <w:trHeight w:val="431"/>
          <w:tblHeader/>
          <w:jc w:val="center"/>
        </w:trPr>
        <w:tc>
          <w:tcPr>
            <w:tcW w:w="3315" w:type="dxa"/>
            <w:vAlign w:val="center"/>
          </w:tcPr>
          <w:p w:rsidR="00A65CA6" w:rsidRPr="002A2FEF"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2A2FEF">
              <w:t>Topic</w:t>
            </w:r>
          </w:p>
        </w:tc>
        <w:tc>
          <w:tcPr>
            <w:tcW w:w="1488" w:type="dxa"/>
            <w:vAlign w:val="center"/>
          </w:tcPr>
          <w:p w:rsidR="00A65CA6" w:rsidRPr="002A2FEF"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2A2FEF">
              <w:t>Responsible group</w:t>
            </w:r>
          </w:p>
        </w:tc>
        <w:tc>
          <w:tcPr>
            <w:tcW w:w="8413" w:type="dxa"/>
            <w:vAlign w:val="center"/>
          </w:tcPr>
          <w:p w:rsidR="00A65CA6" w:rsidRPr="002A2FEF"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2A2FEF">
              <w:t>Action to be taken by the group</w:t>
            </w:r>
          </w:p>
        </w:tc>
        <w:tc>
          <w:tcPr>
            <w:tcW w:w="1243" w:type="dxa"/>
            <w:vAlign w:val="center"/>
          </w:tcPr>
          <w:p w:rsidR="00A65CA6" w:rsidRPr="002A2FEF"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2A2FEF">
              <w:t>Concerned group</w:t>
            </w:r>
            <w:r w:rsidRPr="002A2FEF">
              <w:rPr>
                <w:rStyle w:val="FootnoteReference"/>
                <w:vertAlign w:val="superscript"/>
              </w:rPr>
              <w:footnoteReference w:customMarkFollows="1" w:id="1"/>
              <w:t>(1)</w:t>
            </w:r>
          </w:p>
        </w:tc>
      </w:tr>
      <w:tr w:rsidR="00A65CA6" w:rsidRPr="002A2FEF" w:rsidTr="00A65CA6">
        <w:trPr>
          <w:cantSplit/>
          <w:jc w:val="center"/>
        </w:trPr>
        <w:tc>
          <w:tcPr>
            <w:tcW w:w="14459" w:type="dxa"/>
            <w:gridSpan w:val="4"/>
          </w:tcPr>
          <w:p w:rsidR="00A65CA6" w:rsidRPr="002A2FEF" w:rsidRDefault="00A65CA6" w:rsidP="00A65CA6">
            <w:pPr>
              <w:pStyle w:val="Tabletext"/>
              <w:tabs>
                <w:tab w:val="clear" w:pos="284"/>
                <w:tab w:val="clear" w:pos="567"/>
                <w:tab w:val="left" w:pos="690"/>
              </w:tabs>
            </w:pPr>
            <w:r w:rsidRPr="002C0728">
              <w:rPr>
                <w:b/>
              </w:rPr>
              <w:t>1.1</w:t>
            </w:r>
            <w:r w:rsidRPr="002A2FEF">
              <w:t xml:space="preserve"> </w:t>
            </w:r>
            <w:r w:rsidRPr="002A2FEF">
              <w:tab/>
              <w:t xml:space="preserve">to consider additional spectrum allocations to the mobile service on a primary basis and identification of additional frequency bands for International Mobile Telecommunications (IMT) and related regulatory provisions, to facilitate the development of terrestrial mobile broadband applications, in accordance with Resolution </w:t>
            </w:r>
            <w:r w:rsidRPr="002A2FEF">
              <w:rPr>
                <w:rFonts w:ascii="Times New Roman Bold" w:hAnsi="Times New Roman Bold" w:cs="Times New Roman Bold"/>
                <w:b/>
                <w:bCs/>
              </w:rPr>
              <w:t>233 [</w:t>
            </w:r>
            <w:r w:rsidRPr="002A2FEF">
              <w:rPr>
                <w:b/>
                <w:bCs/>
              </w:rPr>
              <w:t>COM6/8</w:t>
            </w:r>
            <w:r w:rsidRPr="002A2FEF">
              <w:rPr>
                <w:rFonts w:ascii="Times New Roman Bold" w:hAnsi="Times New Roman Bold" w:cs="Times New Roman Bold"/>
                <w:b/>
                <w:bCs/>
              </w:rPr>
              <w:t>]</w:t>
            </w:r>
            <w:r w:rsidRPr="002A2FEF">
              <w:rPr>
                <w:b/>
                <w:bCs/>
              </w:rPr>
              <w:t xml:space="preserve"> (WRC</w:t>
            </w:r>
            <w:r w:rsidRPr="002A2FEF">
              <w:rPr>
                <w:b/>
                <w:bCs/>
              </w:rPr>
              <w:noBreakHyphen/>
              <w:t>12)</w:t>
            </w:r>
            <w:r w:rsidRPr="002A2FEF">
              <w:t>;</w:t>
            </w:r>
          </w:p>
        </w:tc>
      </w:tr>
      <w:tr w:rsidR="00A65CA6" w:rsidRPr="002A2FEF" w:rsidTr="00A65CA6">
        <w:trPr>
          <w:cantSplit/>
          <w:jc w:val="center"/>
        </w:trPr>
        <w:tc>
          <w:tcPr>
            <w:tcW w:w="3315" w:type="dxa"/>
          </w:tcPr>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b/>
                <w:bCs/>
              </w:rPr>
            </w:pPr>
            <w:r w:rsidRPr="002A2FEF">
              <w:t xml:space="preserve">Resolution </w:t>
            </w:r>
            <w:r w:rsidRPr="002A2FEF">
              <w:rPr>
                <w:rFonts w:ascii="Times New Roman Bold" w:hAnsi="Times New Roman Bold" w:cs="Times New Roman Bold"/>
                <w:b/>
                <w:bCs/>
              </w:rPr>
              <w:t>233 [</w:t>
            </w:r>
            <w:r w:rsidRPr="002A2FEF">
              <w:rPr>
                <w:b/>
                <w:bCs/>
              </w:rPr>
              <w:t>COM6/8] (WRC</w:t>
            </w:r>
            <w:r w:rsidRPr="002A2FEF">
              <w:rPr>
                <w:b/>
                <w:bCs/>
              </w:rPr>
              <w:noBreakHyphen/>
              <w:t>12)</w:t>
            </w:r>
          </w:p>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2A2FEF">
              <w:t xml:space="preserve">Studies on frequency-related matters on International Mobile </w:t>
            </w:r>
            <w:r w:rsidRPr="002A2FEF">
              <w:br/>
              <w:t>Telecommunications and other terrestrial mobile broadband applications</w:t>
            </w:r>
          </w:p>
        </w:tc>
        <w:tc>
          <w:tcPr>
            <w:tcW w:w="1488" w:type="dxa"/>
          </w:tcPr>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b/>
                <w:bCs/>
              </w:rPr>
            </w:pPr>
          </w:p>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pPr>
            <w:r w:rsidRPr="002A2FEF">
              <w:rPr>
                <w:b/>
                <w:bCs/>
              </w:rPr>
              <w:t>JTG 4-5-6-7</w:t>
            </w:r>
            <w:r w:rsidRPr="002A2FEF">
              <w:rPr>
                <w:rStyle w:val="FootnoteReference"/>
                <w:b/>
                <w:bCs/>
                <w:vertAlign w:val="superscript"/>
              </w:rPr>
              <w:footnoteReference w:customMarkFollows="1" w:id="2"/>
              <w:t>(2)</w:t>
            </w:r>
          </w:p>
        </w:tc>
        <w:tc>
          <w:tcPr>
            <w:tcW w:w="8413" w:type="dxa"/>
          </w:tcPr>
          <w:p w:rsidR="00A65CA6" w:rsidRPr="002A2FEF" w:rsidRDefault="00A65CA6" w:rsidP="00A65CA6">
            <w:pPr>
              <w:pStyle w:val="Call"/>
              <w:tabs>
                <w:tab w:val="left" w:pos="691"/>
              </w:tabs>
              <w:spacing w:before="40" w:after="40"/>
              <w:ind w:left="691"/>
              <w:rPr>
                <w:sz w:val="20"/>
                <w:lang w:val="en-US"/>
              </w:rPr>
            </w:pPr>
            <w:r w:rsidRPr="002A2FEF">
              <w:rPr>
                <w:sz w:val="20"/>
                <w:lang w:val="en-US"/>
              </w:rPr>
              <w:t>resolves to invite ITU</w:t>
            </w:r>
            <w:r w:rsidRPr="002A2FEF">
              <w:rPr>
                <w:sz w:val="20"/>
                <w:lang w:val="en-US"/>
              </w:rPr>
              <w:noBreakHyphen/>
              <w:t>R</w:t>
            </w:r>
          </w:p>
          <w:p w:rsidR="00A65CA6" w:rsidRPr="002A2FEF" w:rsidRDefault="00A65CA6" w:rsidP="00A65CA6">
            <w:pPr>
              <w:keepNext/>
              <w:tabs>
                <w:tab w:val="left" w:pos="691"/>
              </w:tabs>
              <w:spacing w:before="40" w:after="40"/>
              <w:rPr>
                <w:sz w:val="20"/>
              </w:rPr>
            </w:pPr>
            <w:r w:rsidRPr="002A2FEF">
              <w:rPr>
                <w:sz w:val="20"/>
              </w:rPr>
              <w:t>1</w:t>
            </w:r>
            <w:r w:rsidRPr="002A2FEF">
              <w:rPr>
                <w:sz w:val="20"/>
              </w:rPr>
              <w:tab/>
              <w:t>to study additional spectrum requirements, taking into account:</w:t>
            </w:r>
          </w:p>
          <w:p w:rsidR="00A65CA6" w:rsidRPr="002A2FEF" w:rsidRDefault="00A65CA6" w:rsidP="00A65CA6">
            <w:pPr>
              <w:pStyle w:val="enumlev1"/>
              <w:tabs>
                <w:tab w:val="left" w:pos="691"/>
              </w:tabs>
              <w:spacing w:before="40" w:after="40"/>
              <w:ind w:left="691" w:hanging="691"/>
              <w:rPr>
                <w:sz w:val="20"/>
              </w:rPr>
            </w:pPr>
            <w:r w:rsidRPr="002A2FEF">
              <w:rPr>
                <w:sz w:val="20"/>
              </w:rPr>
              <w:t>–</w:t>
            </w:r>
            <w:r w:rsidRPr="002A2FEF">
              <w:rPr>
                <w:sz w:val="20"/>
              </w:rPr>
              <w:tab/>
              <w:t>technical and operational characteristics of IMT systems, including the evolution of IMT through advances in technology and spectrally-efficient techniques, and their deployment;</w:t>
            </w:r>
          </w:p>
          <w:p w:rsidR="00A65CA6" w:rsidRPr="002A2FEF" w:rsidRDefault="00A65CA6" w:rsidP="00A65CA6">
            <w:pPr>
              <w:pStyle w:val="enumlev1"/>
              <w:tabs>
                <w:tab w:val="left" w:pos="691"/>
              </w:tabs>
              <w:spacing w:before="40" w:after="40"/>
              <w:ind w:left="691" w:hanging="691"/>
              <w:rPr>
                <w:sz w:val="20"/>
              </w:rPr>
            </w:pPr>
            <w:r w:rsidRPr="002A2FEF">
              <w:rPr>
                <w:sz w:val="20"/>
              </w:rPr>
              <w:t>–</w:t>
            </w:r>
            <w:r w:rsidRPr="002A2FEF">
              <w:rPr>
                <w:sz w:val="20"/>
              </w:rPr>
              <w:tab/>
              <w:t>the bands currently identified for IMT, the technical conditions of their use, and the possibility of optimizing the use of these bands with a view to increasing spectrum efficiency;</w:t>
            </w:r>
          </w:p>
          <w:p w:rsidR="00A65CA6" w:rsidRPr="002A2FEF" w:rsidRDefault="00A65CA6" w:rsidP="00A65CA6">
            <w:pPr>
              <w:pStyle w:val="enumlev1"/>
              <w:tabs>
                <w:tab w:val="left" w:pos="691"/>
              </w:tabs>
              <w:spacing w:before="40" w:after="40"/>
              <w:ind w:left="691" w:hanging="691"/>
              <w:rPr>
                <w:sz w:val="20"/>
              </w:rPr>
            </w:pPr>
            <w:r w:rsidRPr="002A2FEF">
              <w:rPr>
                <w:sz w:val="20"/>
              </w:rPr>
              <w:t>–</w:t>
            </w:r>
            <w:r w:rsidRPr="002A2FEF">
              <w:rPr>
                <w:sz w:val="20"/>
              </w:rPr>
              <w:tab/>
              <w:t>the evolving needs, including user demand for IMT and other terrestrial mobile broadband applications;</w:t>
            </w:r>
          </w:p>
          <w:p w:rsidR="00A65CA6" w:rsidRPr="002A2FEF" w:rsidRDefault="00A65CA6" w:rsidP="00A65CA6">
            <w:pPr>
              <w:pStyle w:val="enumlev1"/>
              <w:tabs>
                <w:tab w:val="left" w:pos="691"/>
              </w:tabs>
              <w:spacing w:before="40" w:after="40"/>
              <w:rPr>
                <w:sz w:val="20"/>
              </w:rPr>
            </w:pPr>
            <w:r w:rsidRPr="002A2FEF">
              <w:rPr>
                <w:sz w:val="20"/>
              </w:rPr>
              <w:t>–</w:t>
            </w:r>
            <w:r w:rsidRPr="002A2FEF">
              <w:rPr>
                <w:sz w:val="20"/>
              </w:rPr>
              <w:tab/>
              <w:t>the needs of developing countries;</w:t>
            </w:r>
          </w:p>
          <w:p w:rsidR="00A65CA6" w:rsidRPr="002A2FEF" w:rsidRDefault="00A65CA6" w:rsidP="00A65CA6">
            <w:pPr>
              <w:pStyle w:val="enumlev1"/>
              <w:tabs>
                <w:tab w:val="left" w:pos="691"/>
              </w:tabs>
              <w:spacing w:before="40" w:after="40"/>
              <w:rPr>
                <w:sz w:val="20"/>
              </w:rPr>
            </w:pPr>
            <w:r w:rsidRPr="002A2FEF">
              <w:rPr>
                <w:sz w:val="20"/>
              </w:rPr>
              <w:t>–</w:t>
            </w:r>
            <w:r w:rsidRPr="002A2FEF">
              <w:rPr>
                <w:sz w:val="20"/>
              </w:rPr>
              <w:tab/>
              <w:t>the time-frame in which spectrum would be needed;</w:t>
            </w:r>
          </w:p>
          <w:p w:rsidR="00A65CA6" w:rsidRPr="002A2FEF" w:rsidRDefault="00A65CA6" w:rsidP="00A65CA6">
            <w:pPr>
              <w:tabs>
                <w:tab w:val="left" w:pos="691"/>
              </w:tabs>
              <w:spacing w:before="40" w:after="40"/>
              <w:rPr>
                <w:sz w:val="20"/>
              </w:rPr>
            </w:pPr>
            <w:r w:rsidRPr="002A2FEF">
              <w:rPr>
                <w:sz w:val="20"/>
              </w:rPr>
              <w:t>2</w:t>
            </w:r>
            <w:r w:rsidRPr="002A2FEF">
              <w:rPr>
                <w:sz w:val="20"/>
              </w:rPr>
              <w:tab/>
              <w:t xml:space="preserve">to study potential candidate frequency bands, taking into account the results of the studies under </w:t>
            </w:r>
            <w:r w:rsidRPr="002A2FEF">
              <w:rPr>
                <w:i/>
                <w:sz w:val="20"/>
              </w:rPr>
              <w:t>resolves to invite ITU</w:t>
            </w:r>
            <w:r w:rsidRPr="002A2FEF">
              <w:rPr>
                <w:i/>
                <w:sz w:val="20"/>
              </w:rPr>
              <w:noBreakHyphen/>
              <w:t>R</w:t>
            </w:r>
            <w:r w:rsidRPr="002A2FEF">
              <w:rPr>
                <w:sz w:val="20"/>
              </w:rPr>
              <w:t xml:space="preserve"> 1, protection of existing services and the need for harmonization, </w:t>
            </w:r>
          </w:p>
          <w:p w:rsidR="00A65CA6" w:rsidRPr="002A2FEF" w:rsidRDefault="00A65CA6" w:rsidP="00A65CA6">
            <w:pPr>
              <w:pStyle w:val="Call"/>
              <w:tabs>
                <w:tab w:val="left" w:pos="691"/>
              </w:tabs>
              <w:spacing w:before="40" w:after="40"/>
              <w:ind w:left="691"/>
              <w:rPr>
                <w:sz w:val="20"/>
                <w:lang w:val="en-US"/>
              </w:rPr>
            </w:pPr>
            <w:r w:rsidRPr="002A2FEF">
              <w:rPr>
                <w:sz w:val="20"/>
                <w:lang w:val="en-US"/>
              </w:rPr>
              <w:t>further resolves</w:t>
            </w:r>
          </w:p>
          <w:p w:rsidR="00A65CA6" w:rsidRPr="002A2FEF" w:rsidRDefault="00A65CA6" w:rsidP="00A65CA6">
            <w:pPr>
              <w:tabs>
                <w:tab w:val="left" w:pos="691"/>
              </w:tabs>
              <w:spacing w:before="40" w:after="40"/>
              <w:rPr>
                <w:sz w:val="20"/>
              </w:rPr>
            </w:pPr>
            <w:r w:rsidRPr="002A2FEF">
              <w:rPr>
                <w:sz w:val="20"/>
              </w:rPr>
              <w:t>1</w:t>
            </w:r>
            <w:r w:rsidRPr="002A2FEF">
              <w:rPr>
                <w:sz w:val="20"/>
              </w:rPr>
              <w:tab/>
              <w:t xml:space="preserve">that the studies referred to in </w:t>
            </w:r>
            <w:r w:rsidRPr="002A2FEF">
              <w:rPr>
                <w:i/>
                <w:iCs/>
                <w:sz w:val="20"/>
              </w:rPr>
              <w:t>resolves</w:t>
            </w:r>
            <w:r w:rsidRPr="002A2FEF">
              <w:rPr>
                <w:i/>
                <w:sz w:val="20"/>
              </w:rPr>
              <w:t xml:space="preserve"> to invite ITU</w:t>
            </w:r>
            <w:r w:rsidRPr="002A2FEF">
              <w:rPr>
                <w:i/>
                <w:sz w:val="20"/>
              </w:rPr>
              <w:noBreakHyphen/>
              <w:t>R</w:t>
            </w:r>
            <w:r w:rsidRPr="002A2FEF">
              <w:rPr>
                <w:sz w:val="20"/>
              </w:rPr>
              <w:t> 2 include sharing and compatibility studies with services already having allocations in the potential candidate bands and in adjacent bands, as appropriate, taking into account the current and planned use of these bands by the existing services, as well as the applicable studies already performed in ITU</w:t>
            </w:r>
            <w:r w:rsidRPr="002A2FEF">
              <w:rPr>
                <w:sz w:val="20"/>
              </w:rPr>
              <w:noBreakHyphen/>
              <w:t>R;</w:t>
            </w:r>
          </w:p>
          <w:p w:rsidR="00A65CA6" w:rsidRPr="002A2FEF" w:rsidRDefault="00A65CA6" w:rsidP="00A65CA6">
            <w:pPr>
              <w:tabs>
                <w:tab w:val="left" w:pos="691"/>
              </w:tabs>
              <w:spacing w:before="40" w:after="40"/>
              <w:rPr>
                <w:sz w:val="20"/>
              </w:rPr>
            </w:pPr>
            <w:r w:rsidRPr="002A2FEF">
              <w:rPr>
                <w:sz w:val="20"/>
              </w:rPr>
              <w:t>2</w:t>
            </w:r>
            <w:r w:rsidRPr="002A2FEF">
              <w:rPr>
                <w:sz w:val="20"/>
              </w:rPr>
              <w:tab/>
              <w:t>to invite WRC</w:t>
            </w:r>
            <w:r w:rsidRPr="002A2FEF">
              <w:rPr>
                <w:sz w:val="20"/>
              </w:rPr>
              <w:noBreakHyphen/>
              <w:t>15 to consider the results of the above studies and take appropriate actions,</w:t>
            </w:r>
            <w:r>
              <w:rPr>
                <w:sz w:val="20"/>
              </w:rPr>
              <w:t xml:space="preserve">  </w:t>
            </w:r>
          </w:p>
        </w:tc>
        <w:tc>
          <w:tcPr>
            <w:tcW w:w="1243" w:type="dxa"/>
          </w:tcPr>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ascii="Times New Roman Bold" w:hAnsi="Times New Roman Bold" w:cs="Times New Roman Bold"/>
                <w:b/>
                <w:bCs/>
              </w:rPr>
            </w:pPr>
          </w:p>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ascii="Times New Roman Bold" w:hAnsi="Times New Roman Bold" w:cs="Times New Roman Bold"/>
                <w:b/>
                <w:bCs/>
              </w:rPr>
            </w:pPr>
            <w:r w:rsidRPr="002C0728">
              <w:rPr>
                <w:b/>
                <w:bCs/>
              </w:rPr>
              <w:t>WP 4A</w:t>
            </w:r>
            <w:r w:rsidRPr="002C0728">
              <w:rPr>
                <w:b/>
                <w:bCs/>
              </w:rPr>
              <w:br/>
              <w:t>WP 4B</w:t>
            </w:r>
            <w:r w:rsidRPr="002C0728">
              <w:rPr>
                <w:b/>
                <w:bCs/>
              </w:rPr>
              <w:br/>
              <w:t>WP 4C</w:t>
            </w:r>
            <w:r w:rsidRPr="002C0728">
              <w:rPr>
                <w:b/>
                <w:bCs/>
              </w:rPr>
              <w:br/>
              <w:t>WP 5A</w:t>
            </w:r>
            <w:r w:rsidRPr="002C0728">
              <w:rPr>
                <w:b/>
                <w:bCs/>
              </w:rPr>
              <w:br/>
              <w:t>WP 5B</w:t>
            </w:r>
            <w:r w:rsidRPr="002C0728">
              <w:rPr>
                <w:b/>
                <w:bCs/>
              </w:rPr>
              <w:br/>
              <w:t>WP 5C</w:t>
            </w:r>
            <w:r w:rsidRPr="00AE19DF">
              <w:rPr>
                <w:b/>
                <w:bCs/>
                <w:highlight w:val="yellow"/>
              </w:rPr>
              <w:br/>
              <w:t>WP 5</w:t>
            </w:r>
            <w:r>
              <w:rPr>
                <w:b/>
                <w:bCs/>
                <w:highlight w:val="yellow"/>
              </w:rPr>
              <w:t>D</w:t>
            </w:r>
            <w:r w:rsidRPr="002A2FEF">
              <w:rPr>
                <w:b/>
                <w:bCs/>
              </w:rPr>
              <w:br/>
            </w:r>
            <w:r w:rsidRPr="002C0728">
              <w:rPr>
                <w:b/>
                <w:bCs/>
              </w:rPr>
              <w:t>WP 6A</w:t>
            </w:r>
            <w:r w:rsidRPr="002C0728">
              <w:rPr>
                <w:b/>
                <w:bCs/>
              </w:rPr>
              <w:br/>
              <w:t>WP 7B</w:t>
            </w:r>
            <w:r w:rsidRPr="002C0728">
              <w:rPr>
                <w:rFonts w:ascii="Times New Roman Bold" w:hAnsi="Times New Roman Bold" w:cs="Times New Roman Bold"/>
                <w:b/>
                <w:bCs/>
              </w:rPr>
              <w:br/>
            </w:r>
            <w:r w:rsidRPr="002C0728">
              <w:rPr>
                <w:b/>
                <w:bCs/>
              </w:rPr>
              <w:t>WP 7C</w:t>
            </w:r>
            <w:r w:rsidRPr="002C0728">
              <w:rPr>
                <w:rFonts w:ascii="Times New Roman Bold" w:hAnsi="Times New Roman Bold" w:cs="Times New Roman Bold"/>
                <w:b/>
                <w:bCs/>
              </w:rPr>
              <w:br/>
            </w:r>
            <w:r w:rsidRPr="002C0728">
              <w:rPr>
                <w:b/>
                <w:bCs/>
              </w:rPr>
              <w:t>WP 7D</w:t>
            </w:r>
          </w:p>
          <w:p w:rsidR="00A65CA6" w:rsidRPr="002A2FEF"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pPr>
            <w:r w:rsidRPr="002A2FEF">
              <w:t>(WP 1A</w:t>
            </w:r>
            <w:r w:rsidRPr="002A2FEF">
              <w:br/>
              <w:t>WP 3K</w:t>
            </w:r>
            <w:r w:rsidRPr="002A2FEF">
              <w:br/>
              <w:t>WP 3M)</w:t>
            </w:r>
          </w:p>
          <w:p w:rsidR="00A65CA6" w:rsidRPr="002039D1"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ascii="Times New Roman Bold" w:hAnsi="Times New Roman Bold" w:cs="Times New Roman Bold"/>
                <w:b/>
                <w:bCs/>
                <w:position w:val="6"/>
                <w:vertAlign w:val="superscript"/>
              </w:rPr>
            </w:pPr>
            <w:r w:rsidRPr="002039D1">
              <w:rPr>
                <w:rFonts w:ascii="Times New Roman Bold" w:hAnsi="Times New Roman Bold" w:cs="Times New Roman Bold"/>
                <w:b/>
                <w:bCs/>
                <w:position w:val="6"/>
                <w:vertAlign w:val="superscript"/>
              </w:rPr>
              <w:t>(2)</w:t>
            </w:r>
          </w:p>
        </w:tc>
      </w:tr>
    </w:tbl>
    <w:p w:rsidR="00A65CA6" w:rsidRDefault="00A65CA6" w:rsidP="00A65CA6"/>
    <w:p w:rsidR="00A65CA6" w:rsidRDefault="00A65CA6" w:rsidP="00A65CA6">
      <w:pPr>
        <w:jc w:val="center"/>
        <w:rPr>
          <w:b/>
        </w:rPr>
        <w:sectPr w:rsidR="00A65CA6" w:rsidSect="00A65CA6">
          <w:pgSz w:w="15840" w:h="12240" w:orient="landscape"/>
          <w:pgMar w:top="720" w:right="720" w:bottom="720" w:left="720" w:header="720" w:footer="720" w:gutter="0"/>
          <w:cols w:space="720"/>
          <w:docGrid w:linePitch="360"/>
        </w:sect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5"/>
        <w:gridCol w:w="1488"/>
        <w:gridCol w:w="8413"/>
        <w:gridCol w:w="1243"/>
      </w:tblGrid>
      <w:tr w:rsidR="00A65CA6" w:rsidRPr="0007610A" w:rsidTr="00A65CA6">
        <w:trPr>
          <w:cantSplit/>
          <w:trHeight w:val="431"/>
          <w:tblHeader/>
          <w:jc w:val="center"/>
        </w:trPr>
        <w:tc>
          <w:tcPr>
            <w:tcW w:w="3315" w:type="dxa"/>
            <w:vAlign w:val="center"/>
          </w:tcPr>
          <w:p w:rsidR="00A65CA6" w:rsidRPr="0007610A"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07610A">
              <w:t>Topic</w:t>
            </w:r>
          </w:p>
        </w:tc>
        <w:tc>
          <w:tcPr>
            <w:tcW w:w="1488" w:type="dxa"/>
            <w:vAlign w:val="center"/>
          </w:tcPr>
          <w:p w:rsidR="00A65CA6" w:rsidRPr="0007610A"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07610A">
              <w:t>Responsible group</w:t>
            </w:r>
          </w:p>
        </w:tc>
        <w:tc>
          <w:tcPr>
            <w:tcW w:w="8413" w:type="dxa"/>
            <w:vAlign w:val="center"/>
          </w:tcPr>
          <w:p w:rsidR="00A65CA6" w:rsidRPr="0007610A"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07610A">
              <w:t>Action to be taken by the group</w:t>
            </w:r>
          </w:p>
        </w:tc>
        <w:tc>
          <w:tcPr>
            <w:tcW w:w="1243" w:type="dxa"/>
            <w:vAlign w:val="center"/>
          </w:tcPr>
          <w:p w:rsidR="00A65CA6" w:rsidRPr="0007610A" w:rsidRDefault="00A65CA6" w:rsidP="00A65CA6">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07610A">
              <w:t>Concerned group</w:t>
            </w:r>
          </w:p>
        </w:tc>
      </w:tr>
      <w:tr w:rsidR="00A65CA6" w:rsidRPr="0007610A" w:rsidTr="00A65CA6">
        <w:trPr>
          <w:cantSplit/>
          <w:jc w:val="center"/>
        </w:trPr>
        <w:tc>
          <w:tcPr>
            <w:tcW w:w="14459" w:type="dxa"/>
            <w:gridSpan w:val="4"/>
          </w:tcPr>
          <w:p w:rsidR="00A65CA6" w:rsidRPr="0007610A" w:rsidRDefault="00A65CA6" w:rsidP="00A65CA6">
            <w:pPr>
              <w:pStyle w:val="Tabletext"/>
              <w:keepNext/>
              <w:keepLines/>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690"/>
              </w:tabs>
            </w:pPr>
            <w:r w:rsidRPr="0007610A">
              <w:rPr>
                <w:b/>
              </w:rPr>
              <w:t>1.2</w:t>
            </w:r>
            <w:r w:rsidRPr="0007610A">
              <w:tab/>
              <w:t>to examine the results of ITU</w:t>
            </w:r>
            <w:r w:rsidRPr="0007610A">
              <w:noBreakHyphen/>
              <w:t xml:space="preserve">R studies, in accordance with Resolution </w:t>
            </w:r>
            <w:r w:rsidRPr="0007610A">
              <w:rPr>
                <w:rFonts w:ascii="Times New Roman Bold" w:hAnsi="Times New Roman Bold" w:cs="Times New Roman Bold"/>
                <w:b/>
                <w:bCs/>
              </w:rPr>
              <w:t>232 [</w:t>
            </w:r>
            <w:r w:rsidRPr="0007610A">
              <w:rPr>
                <w:b/>
                <w:bCs/>
              </w:rPr>
              <w:t>COM5/10</w:t>
            </w:r>
            <w:r w:rsidRPr="0007610A">
              <w:rPr>
                <w:rFonts w:ascii="Times New Roman Bold" w:hAnsi="Times New Roman Bold" w:cs="Times New Roman Bold"/>
                <w:b/>
                <w:bCs/>
              </w:rPr>
              <w:t>]</w:t>
            </w:r>
            <w:r w:rsidRPr="0007610A">
              <w:rPr>
                <w:b/>
                <w:bCs/>
              </w:rPr>
              <w:t xml:space="preserve"> (WRC</w:t>
            </w:r>
            <w:r w:rsidRPr="0007610A">
              <w:rPr>
                <w:b/>
                <w:bCs/>
              </w:rPr>
              <w:noBreakHyphen/>
              <w:t>12)</w:t>
            </w:r>
            <w:r w:rsidRPr="0007610A">
              <w:t>, on the use of the frequency band 694-790 MHz by the mobile, except aeronautical mobile, service in Region 1 and take the appropriate measures;</w:t>
            </w:r>
          </w:p>
        </w:tc>
      </w:tr>
      <w:tr w:rsidR="00A65CA6" w:rsidRPr="0007610A" w:rsidTr="00A65CA6">
        <w:trPr>
          <w:cantSplit/>
          <w:trHeight w:val="8945"/>
          <w:jc w:val="center"/>
        </w:trPr>
        <w:tc>
          <w:tcPr>
            <w:tcW w:w="3315" w:type="dxa"/>
          </w:tcPr>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eastAsia="nl-NL"/>
              </w:rPr>
            </w:pPr>
            <w:r w:rsidRPr="0007610A">
              <w:t xml:space="preserve">Resolution </w:t>
            </w:r>
            <w:r w:rsidRPr="0007610A">
              <w:rPr>
                <w:rFonts w:ascii="Times New Roman Bold" w:hAnsi="Times New Roman Bold" w:cs="Times New Roman Bold"/>
                <w:b/>
                <w:bCs/>
              </w:rPr>
              <w:t>232 [</w:t>
            </w:r>
            <w:r w:rsidRPr="0007610A">
              <w:rPr>
                <w:b/>
                <w:bCs/>
              </w:rPr>
              <w:t>CO</w:t>
            </w:r>
            <w:bookmarkStart w:id="8" w:name="_GoBack"/>
            <w:bookmarkEnd w:id="8"/>
            <w:r w:rsidRPr="0007610A">
              <w:rPr>
                <w:b/>
                <w:bCs/>
              </w:rPr>
              <w:t>M5/10]</w:t>
            </w:r>
            <w:r w:rsidRPr="0007610A">
              <w:rPr>
                <w:b/>
                <w:bCs/>
                <w:lang w:eastAsia="nl-NL"/>
              </w:rPr>
              <w:t xml:space="preserve"> (WRC</w:t>
            </w:r>
            <w:r w:rsidRPr="0007610A">
              <w:rPr>
                <w:b/>
                <w:bCs/>
                <w:lang w:eastAsia="nl-NL"/>
              </w:rPr>
              <w:noBreakHyphen/>
              <w:t>12)</w:t>
            </w:r>
          </w:p>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pPr>
            <w:r w:rsidRPr="0007610A">
              <w:rPr>
                <w:lang w:eastAsia="nl-NL"/>
              </w:rPr>
              <w:t>Use of the frequency band 694-790 MHz by the mobile, except aeronautical mobile, service in Region 1 and related studies</w:t>
            </w:r>
          </w:p>
        </w:tc>
        <w:tc>
          <w:tcPr>
            <w:tcW w:w="1488" w:type="dxa"/>
          </w:tcPr>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b/>
                <w:bCs/>
              </w:rPr>
            </w:pPr>
          </w:p>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pPr>
            <w:r w:rsidRPr="0007610A">
              <w:rPr>
                <w:b/>
                <w:bCs/>
              </w:rPr>
              <w:t>JTG 4-5-6-7</w:t>
            </w:r>
            <w:r w:rsidRPr="0007610A">
              <w:rPr>
                <w:rStyle w:val="FootnoteReference"/>
                <w:sz w:val="20"/>
                <w:vertAlign w:val="superscript"/>
              </w:rPr>
              <w:t>(2)</w:t>
            </w:r>
          </w:p>
        </w:tc>
        <w:tc>
          <w:tcPr>
            <w:tcW w:w="8413" w:type="dxa"/>
          </w:tcPr>
          <w:p w:rsidR="00A65CA6" w:rsidRPr="0007610A" w:rsidRDefault="00A65CA6" w:rsidP="00A65CA6">
            <w:pPr>
              <w:pStyle w:val="Call"/>
              <w:tabs>
                <w:tab w:val="left" w:pos="711"/>
              </w:tabs>
              <w:spacing w:before="0"/>
              <w:ind w:left="691"/>
              <w:rPr>
                <w:iCs/>
                <w:sz w:val="20"/>
                <w:lang w:val="en-US"/>
              </w:rPr>
            </w:pPr>
            <w:r w:rsidRPr="0007610A">
              <w:rPr>
                <w:iCs/>
                <w:sz w:val="20"/>
                <w:lang w:val="en-US"/>
              </w:rPr>
              <w:t>resolves</w:t>
            </w:r>
          </w:p>
          <w:p w:rsidR="00A65CA6" w:rsidRPr="0007610A" w:rsidRDefault="00A65CA6" w:rsidP="00A65CA6">
            <w:pPr>
              <w:tabs>
                <w:tab w:val="left" w:pos="711"/>
              </w:tabs>
              <w:rPr>
                <w:sz w:val="20"/>
              </w:rPr>
            </w:pPr>
            <w:r w:rsidRPr="0007610A">
              <w:rPr>
                <w:sz w:val="20"/>
              </w:rPr>
              <w:t>1</w:t>
            </w:r>
            <w:r w:rsidRPr="0007610A">
              <w:rPr>
                <w:sz w:val="20"/>
              </w:rPr>
              <w:tab/>
              <w:t>to allocate the frequency band 694-790 MHz in Region 1 to the mobile, except aeronautical mobile, service on a co-primary basis with other services to which this band is allocated on a primary basis and to identify it for IMT;</w:t>
            </w:r>
          </w:p>
          <w:p w:rsidR="00A65CA6" w:rsidRPr="0007610A" w:rsidRDefault="00A65CA6" w:rsidP="00A65CA6">
            <w:pPr>
              <w:tabs>
                <w:tab w:val="left" w:pos="711"/>
              </w:tabs>
              <w:rPr>
                <w:sz w:val="20"/>
              </w:rPr>
            </w:pPr>
            <w:r w:rsidRPr="0007610A">
              <w:rPr>
                <w:sz w:val="20"/>
              </w:rPr>
              <w:t>2</w:t>
            </w:r>
            <w:r w:rsidRPr="0007610A">
              <w:rPr>
                <w:sz w:val="20"/>
              </w:rPr>
              <w:tab/>
              <w:t>that the allocation in resolves 1 is effective immediately after WRC</w:t>
            </w:r>
            <w:r w:rsidRPr="0007610A">
              <w:rPr>
                <w:sz w:val="20"/>
              </w:rPr>
              <w:noBreakHyphen/>
              <w:t>15;</w:t>
            </w:r>
          </w:p>
          <w:p w:rsidR="00A65CA6" w:rsidRPr="0007610A" w:rsidRDefault="00A65CA6" w:rsidP="00A65CA6">
            <w:pPr>
              <w:tabs>
                <w:tab w:val="left" w:pos="711"/>
              </w:tabs>
              <w:rPr>
                <w:sz w:val="20"/>
              </w:rPr>
            </w:pPr>
            <w:r w:rsidRPr="0007610A">
              <w:rPr>
                <w:sz w:val="20"/>
              </w:rPr>
              <w:t>3</w:t>
            </w:r>
            <w:r w:rsidRPr="0007610A">
              <w:rPr>
                <w:sz w:val="20"/>
              </w:rPr>
              <w:tab/>
              <w:t xml:space="preserve">that use of the allocation in resolves 1 is subject to agreement obtained under No. 9.21 with respect to the aeronautical </w:t>
            </w:r>
            <w:proofErr w:type="spellStart"/>
            <w:r w:rsidRPr="0007610A">
              <w:rPr>
                <w:sz w:val="20"/>
              </w:rPr>
              <w:t>radionavigation</w:t>
            </w:r>
            <w:proofErr w:type="spellEnd"/>
            <w:r w:rsidRPr="0007610A">
              <w:rPr>
                <w:sz w:val="20"/>
              </w:rPr>
              <w:t xml:space="preserve"> service in countries listed in No. 5.312;</w:t>
            </w:r>
          </w:p>
          <w:p w:rsidR="00A65CA6" w:rsidRPr="0007610A" w:rsidRDefault="00A65CA6" w:rsidP="00A65CA6">
            <w:pPr>
              <w:tabs>
                <w:tab w:val="left" w:pos="711"/>
              </w:tabs>
              <w:rPr>
                <w:sz w:val="20"/>
              </w:rPr>
            </w:pPr>
            <w:r w:rsidRPr="0007610A">
              <w:rPr>
                <w:sz w:val="20"/>
              </w:rPr>
              <w:t>4</w:t>
            </w:r>
            <w:r w:rsidRPr="0007610A">
              <w:rPr>
                <w:sz w:val="20"/>
              </w:rPr>
              <w:tab/>
              <w:t>that the lower edge of the allocation is subject to refinement at WRC</w:t>
            </w:r>
            <w:r w:rsidRPr="0007610A">
              <w:rPr>
                <w:sz w:val="20"/>
              </w:rPr>
              <w:noBreakHyphen/>
              <w:t>15, taking into account the ITU-R studies referred to in invites ITU-R below and the needs of countries in Region 1, in particular developing countries;</w:t>
            </w:r>
          </w:p>
          <w:p w:rsidR="00A65CA6" w:rsidRPr="0007610A" w:rsidRDefault="00A65CA6" w:rsidP="00A65CA6">
            <w:pPr>
              <w:tabs>
                <w:tab w:val="left" w:pos="711"/>
              </w:tabs>
              <w:rPr>
                <w:sz w:val="20"/>
              </w:rPr>
            </w:pPr>
            <w:r w:rsidRPr="0007610A">
              <w:rPr>
                <w:sz w:val="20"/>
              </w:rPr>
              <w:t>5</w:t>
            </w:r>
            <w:r w:rsidRPr="0007610A">
              <w:rPr>
                <w:sz w:val="20"/>
              </w:rPr>
              <w:tab/>
              <w:t>that WRC</w:t>
            </w:r>
            <w:r w:rsidRPr="0007610A">
              <w:rPr>
                <w:sz w:val="20"/>
              </w:rPr>
              <w:noBreakHyphen/>
              <w:t>15 will specify the technical and regulatory conditions applicable to the mobile service allocation referred to in resolves 1, taking into account the ITU-R studies referred to in invites ITU-R below,</w:t>
            </w:r>
          </w:p>
          <w:p w:rsidR="00A65CA6" w:rsidRPr="0007610A" w:rsidRDefault="00A65CA6" w:rsidP="00A65CA6">
            <w:pPr>
              <w:pStyle w:val="Call"/>
              <w:tabs>
                <w:tab w:val="left" w:pos="711"/>
              </w:tabs>
              <w:spacing w:before="0"/>
              <w:ind w:left="691"/>
              <w:rPr>
                <w:iCs/>
                <w:sz w:val="20"/>
                <w:lang w:val="en-US" w:eastAsia="nl-NL"/>
              </w:rPr>
            </w:pPr>
            <w:r w:rsidRPr="0007610A">
              <w:rPr>
                <w:iCs/>
                <w:sz w:val="20"/>
                <w:lang w:val="en-US" w:eastAsia="nl-NL"/>
              </w:rPr>
              <w:t>invites ITU-R</w:t>
            </w:r>
          </w:p>
          <w:p w:rsidR="00A65CA6" w:rsidRPr="0007610A" w:rsidRDefault="00A65CA6" w:rsidP="00A65CA6">
            <w:pPr>
              <w:tabs>
                <w:tab w:val="left" w:pos="711"/>
              </w:tabs>
              <w:rPr>
                <w:sz w:val="20"/>
                <w:lang w:eastAsia="nl-NL"/>
              </w:rPr>
            </w:pPr>
            <w:r w:rsidRPr="0007610A">
              <w:rPr>
                <w:sz w:val="20"/>
                <w:lang w:eastAsia="nl-NL"/>
              </w:rPr>
              <w:t>1</w:t>
            </w:r>
            <w:r w:rsidRPr="0007610A">
              <w:rPr>
                <w:sz w:val="20"/>
                <w:lang w:eastAsia="nl-NL"/>
              </w:rPr>
              <w:tab/>
              <w:t xml:space="preserve">to study the spectrum requirement for the mobile service and for the broadcasting service in this frequency band, in order to determine as early as possible the options for the lower edge referred to in </w:t>
            </w:r>
            <w:r w:rsidRPr="0007610A">
              <w:rPr>
                <w:i/>
                <w:iCs/>
                <w:sz w:val="20"/>
                <w:lang w:eastAsia="nl-NL"/>
              </w:rPr>
              <w:t>resolves</w:t>
            </w:r>
            <w:r w:rsidRPr="0007610A">
              <w:rPr>
                <w:sz w:val="20"/>
                <w:lang w:eastAsia="nl-NL"/>
              </w:rPr>
              <w:t> 4;</w:t>
            </w:r>
          </w:p>
          <w:p w:rsidR="00A65CA6" w:rsidRPr="0007610A" w:rsidRDefault="00A65CA6" w:rsidP="00A65CA6">
            <w:pPr>
              <w:tabs>
                <w:tab w:val="left" w:pos="711"/>
              </w:tabs>
              <w:rPr>
                <w:sz w:val="20"/>
                <w:lang w:eastAsia="nl-NL"/>
              </w:rPr>
            </w:pPr>
            <w:r w:rsidRPr="0007610A">
              <w:rPr>
                <w:sz w:val="20"/>
                <w:lang w:eastAsia="nl-NL"/>
              </w:rPr>
              <w:t>2</w:t>
            </w:r>
            <w:r w:rsidRPr="0007610A">
              <w:rPr>
                <w:sz w:val="20"/>
                <w:lang w:eastAsia="nl-NL"/>
              </w:rPr>
              <w:tab/>
              <w:t>to study the channelling arrangements for the mobile service, adapted to the frequency band below 790 MHz, taking into account</w:t>
            </w:r>
            <w:r w:rsidRPr="0007610A">
              <w:rPr>
                <w:sz w:val="20"/>
              </w:rPr>
              <w:t>:</w:t>
            </w:r>
          </w:p>
          <w:p w:rsidR="00A65CA6" w:rsidRPr="0007610A" w:rsidRDefault="00A65CA6" w:rsidP="00A65CA6">
            <w:pPr>
              <w:pStyle w:val="enumlev1"/>
              <w:tabs>
                <w:tab w:val="left" w:pos="711"/>
              </w:tabs>
              <w:spacing w:before="0"/>
              <w:ind w:left="711" w:hanging="711"/>
              <w:rPr>
                <w:sz w:val="20"/>
              </w:rPr>
            </w:pPr>
            <w:r w:rsidRPr="0007610A">
              <w:rPr>
                <w:sz w:val="20"/>
              </w:rPr>
              <w:t>–</w:t>
            </w:r>
            <w:r w:rsidRPr="0007610A">
              <w:rPr>
                <w:sz w:val="20"/>
              </w:rPr>
              <w:tab/>
              <w:t>the existing arrangements in Region 1 in the bands between 790 and 862 MHz and defined in the last version of Recommendation ITU-R M.1036, in order to ensure coexistence with the networks operated in the new allocation and the operational networks in the band 790</w:t>
            </w:r>
            <w:r w:rsidRPr="0007610A">
              <w:rPr>
                <w:sz w:val="20"/>
              </w:rPr>
              <w:noBreakHyphen/>
              <w:t>862 MHz,</w:t>
            </w:r>
          </w:p>
          <w:p w:rsidR="00A65CA6" w:rsidRPr="0007610A" w:rsidRDefault="00A65CA6" w:rsidP="00A65CA6">
            <w:pPr>
              <w:pStyle w:val="enumlev1"/>
              <w:tabs>
                <w:tab w:val="left" w:pos="711"/>
              </w:tabs>
              <w:spacing w:before="0"/>
              <w:rPr>
                <w:sz w:val="20"/>
              </w:rPr>
            </w:pPr>
            <w:r w:rsidRPr="0007610A">
              <w:rPr>
                <w:sz w:val="20"/>
              </w:rPr>
              <w:t>–</w:t>
            </w:r>
            <w:r w:rsidRPr="0007610A">
              <w:rPr>
                <w:sz w:val="20"/>
              </w:rPr>
              <w:tab/>
              <w:t>the desire for harmonization with arrangements across all Regions,</w:t>
            </w:r>
          </w:p>
          <w:p w:rsidR="00A65CA6" w:rsidRPr="0007610A" w:rsidRDefault="00A65CA6" w:rsidP="00A65CA6">
            <w:pPr>
              <w:pStyle w:val="enumlev1"/>
              <w:tabs>
                <w:tab w:val="left" w:pos="711"/>
              </w:tabs>
              <w:spacing w:before="0"/>
              <w:ind w:left="711" w:hanging="711"/>
              <w:rPr>
                <w:sz w:val="20"/>
              </w:rPr>
            </w:pPr>
            <w:r w:rsidRPr="0007610A">
              <w:rPr>
                <w:sz w:val="20"/>
              </w:rPr>
              <w:t>–</w:t>
            </w:r>
            <w:r w:rsidRPr="0007610A">
              <w:rPr>
                <w:sz w:val="20"/>
              </w:rPr>
              <w:tab/>
              <w:t>the compatibility with other primary services to which the band is allocated, including in adjacent bands;</w:t>
            </w:r>
          </w:p>
          <w:p w:rsidR="00A65CA6" w:rsidRPr="0007610A" w:rsidRDefault="00A65CA6" w:rsidP="00A65CA6">
            <w:pPr>
              <w:tabs>
                <w:tab w:val="left" w:pos="711"/>
              </w:tabs>
              <w:rPr>
                <w:sz w:val="20"/>
                <w:lang w:eastAsia="nl-NL"/>
              </w:rPr>
            </w:pPr>
            <w:r w:rsidRPr="0007610A">
              <w:rPr>
                <w:sz w:val="20"/>
                <w:lang w:eastAsia="nl-NL"/>
              </w:rPr>
              <w:t>3</w:t>
            </w:r>
            <w:r w:rsidRPr="0007610A">
              <w:rPr>
                <w:sz w:val="20"/>
                <w:lang w:eastAsia="nl-NL"/>
              </w:rPr>
              <w:tab/>
              <w:t>to study coexistence between the different channelling arrangements which have been implemented in Region 1 above 790 MHz, as well as the possibility of further harmonization;</w:t>
            </w:r>
          </w:p>
          <w:p w:rsidR="00A65CA6" w:rsidRPr="0007610A" w:rsidRDefault="00A65CA6" w:rsidP="00A65CA6">
            <w:pPr>
              <w:tabs>
                <w:tab w:val="left" w:pos="711"/>
              </w:tabs>
              <w:rPr>
                <w:sz w:val="20"/>
                <w:lang w:eastAsia="nl-NL"/>
              </w:rPr>
            </w:pPr>
            <w:r w:rsidRPr="0007610A">
              <w:rPr>
                <w:sz w:val="20"/>
                <w:lang w:eastAsia="nl-NL"/>
              </w:rPr>
              <w:t>4</w:t>
            </w:r>
            <w:r w:rsidRPr="0007610A">
              <w:rPr>
                <w:sz w:val="20"/>
                <w:lang w:eastAsia="nl-NL"/>
              </w:rPr>
              <w:tab/>
              <w:t>to study the compatibility between the mobile service and other services currently allocated in the frequency band 694-790 MHz and develop ITU-R Recommendations or Reports;</w:t>
            </w:r>
          </w:p>
          <w:p w:rsidR="00A65CA6" w:rsidRPr="0007610A" w:rsidRDefault="00A65CA6" w:rsidP="00A65CA6">
            <w:pPr>
              <w:tabs>
                <w:tab w:val="left" w:pos="711"/>
              </w:tabs>
              <w:rPr>
                <w:sz w:val="20"/>
                <w:lang w:eastAsia="nl-NL"/>
              </w:rPr>
            </w:pPr>
            <w:r w:rsidRPr="0007610A">
              <w:rPr>
                <w:sz w:val="20"/>
                <w:lang w:eastAsia="nl-NL"/>
              </w:rPr>
              <w:t>5</w:t>
            </w:r>
            <w:r w:rsidRPr="0007610A">
              <w:rPr>
                <w:sz w:val="20"/>
                <w:lang w:eastAsia="nl-NL"/>
              </w:rPr>
              <w:tab/>
              <w:t>to study solutions for accommodating applications ancillary to broadcasting requirements;</w:t>
            </w:r>
          </w:p>
          <w:p w:rsidR="00A65CA6" w:rsidRPr="0007610A" w:rsidRDefault="00A65CA6" w:rsidP="00A65CA6">
            <w:pPr>
              <w:tabs>
                <w:tab w:val="left" w:pos="711"/>
              </w:tabs>
              <w:rPr>
                <w:sz w:val="20"/>
                <w:lang w:eastAsia="nl-NL"/>
              </w:rPr>
            </w:pPr>
            <w:r w:rsidRPr="0007610A">
              <w:rPr>
                <w:sz w:val="20"/>
                <w:lang w:eastAsia="nl-NL"/>
              </w:rPr>
              <w:t>6</w:t>
            </w:r>
            <w:r w:rsidRPr="0007610A">
              <w:rPr>
                <w:sz w:val="20"/>
                <w:lang w:eastAsia="nl-NL"/>
              </w:rPr>
              <w:tab/>
              <w:t>to report, in time for WRC</w:t>
            </w:r>
            <w:r w:rsidRPr="0007610A">
              <w:rPr>
                <w:sz w:val="20"/>
                <w:lang w:eastAsia="nl-NL"/>
              </w:rPr>
              <w:noBreakHyphen/>
              <w:t>15, the results of these studies,</w:t>
            </w:r>
          </w:p>
        </w:tc>
        <w:tc>
          <w:tcPr>
            <w:tcW w:w="1243" w:type="dxa"/>
          </w:tcPr>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b/>
                <w:bCs/>
              </w:rPr>
            </w:pPr>
          </w:p>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b/>
                <w:bCs/>
              </w:rPr>
            </w:pPr>
            <w:r w:rsidRPr="0007610A">
              <w:rPr>
                <w:b/>
                <w:bCs/>
              </w:rPr>
              <w:t>WP 4A</w:t>
            </w:r>
            <w:r w:rsidRPr="0007610A">
              <w:rPr>
                <w:rFonts w:ascii="Times New Roman Bold" w:hAnsi="Times New Roman Bold" w:cs="Times New Roman Bold"/>
                <w:b/>
                <w:bCs/>
              </w:rPr>
              <w:br/>
            </w:r>
            <w:r w:rsidRPr="0007610A">
              <w:rPr>
                <w:b/>
                <w:bCs/>
              </w:rPr>
              <w:t>WP 5A</w:t>
            </w:r>
            <w:r w:rsidRPr="0007610A">
              <w:rPr>
                <w:b/>
                <w:bCs/>
              </w:rPr>
              <w:br/>
              <w:t>WP 5B</w:t>
            </w:r>
            <w:r w:rsidRPr="0007610A">
              <w:rPr>
                <w:b/>
                <w:bCs/>
                <w:highlight w:val="yellow"/>
              </w:rPr>
              <w:br/>
              <w:t>WP 5D</w:t>
            </w:r>
            <w:r w:rsidRPr="0007610A">
              <w:rPr>
                <w:b/>
                <w:bCs/>
              </w:rPr>
              <w:br/>
              <w:t>WP 6A</w:t>
            </w:r>
          </w:p>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pPr>
            <w:r w:rsidRPr="0007610A">
              <w:t>(WP 3K</w:t>
            </w:r>
            <w:r w:rsidRPr="0007610A">
              <w:br/>
              <w:t>WP 3M)</w:t>
            </w:r>
          </w:p>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vertAlign w:val="superscript"/>
              </w:rPr>
            </w:pPr>
            <w:r w:rsidRPr="0007610A">
              <w:rPr>
                <w:rFonts w:ascii="Times New Roman Bold" w:hAnsi="Times New Roman Bold" w:cs="Times New Roman Bold"/>
                <w:position w:val="6"/>
                <w:vertAlign w:val="superscript"/>
              </w:rPr>
              <w:t>(2)</w:t>
            </w:r>
          </w:p>
          <w:p w:rsidR="00A65CA6" w:rsidRPr="0007610A" w:rsidRDefault="00A65CA6" w:rsidP="00A65CA6">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pPr>
          </w:p>
          <w:p w:rsidR="00A65CA6" w:rsidRPr="0007610A" w:rsidRDefault="00A65CA6" w:rsidP="00A65CA6">
            <w:pPr>
              <w:rPr>
                <w:sz w:val="20"/>
              </w:rPr>
            </w:pPr>
          </w:p>
          <w:p w:rsidR="00A65CA6" w:rsidRPr="0007610A" w:rsidRDefault="00A65CA6" w:rsidP="00A65CA6">
            <w:pPr>
              <w:rPr>
                <w:sz w:val="20"/>
              </w:rPr>
            </w:pPr>
          </w:p>
        </w:tc>
      </w:tr>
    </w:tbl>
    <w:p w:rsidR="00A65CA6" w:rsidRDefault="00A65CA6" w:rsidP="00A65CA6">
      <w:pPr>
        <w:jc w:val="center"/>
        <w:rPr>
          <w:b/>
        </w:rPr>
        <w:sectPr w:rsidR="00A65CA6" w:rsidSect="00A65CA6">
          <w:pgSz w:w="15840" w:h="12240" w:orient="landscape"/>
          <w:pgMar w:top="720" w:right="720" w:bottom="720" w:left="720" w:header="720" w:footer="720" w:gutter="0"/>
          <w:cols w:space="720"/>
          <w:docGrid w:linePitch="360"/>
        </w:sectPr>
      </w:pPr>
    </w:p>
    <w:p w:rsidR="00A65CA6" w:rsidRDefault="00A65CA6" w:rsidP="00E06013">
      <w:pPr>
        <w:pStyle w:val="AppendixNo"/>
      </w:pPr>
      <w:r>
        <w:t>ATTACHMENT 2</w:t>
      </w:r>
    </w:p>
    <w:p w:rsidR="00A65CA6" w:rsidRDefault="00A65CA6" w:rsidP="00E06013">
      <w:pPr>
        <w:pStyle w:val="Appendixtitle"/>
      </w:pPr>
      <w:r>
        <w:t xml:space="preserve">Draft </w:t>
      </w:r>
      <w:r w:rsidR="00E06013">
        <w:t>t</w:t>
      </w:r>
      <w:r>
        <w:t xml:space="preserve">emplate for </w:t>
      </w:r>
      <w:r w:rsidR="00E06013">
        <w:t>parameters for draft new Report</w:t>
      </w:r>
      <w:r w:rsidR="00E06013">
        <w:br/>
        <w:t xml:space="preserve">ITU-R </w:t>
      </w:r>
      <w:r>
        <w:t>M.[IMT.ADV.PARAM]</w:t>
      </w:r>
    </w:p>
    <w:p w:rsidR="00A65CA6" w:rsidRDefault="00A65CA6" w:rsidP="00A65CA6">
      <w:pPr>
        <w:jc w:val="center"/>
        <w:rPr>
          <w:b/>
        </w:rPr>
      </w:pPr>
      <w:r w:rsidRPr="005C08AC">
        <w:rPr>
          <w:b/>
          <w:highlight w:val="cyan"/>
        </w:rPr>
        <w:t>(E</w:t>
      </w:r>
      <w:r w:rsidR="00E06013" w:rsidRPr="005C08AC">
        <w:rPr>
          <w:b/>
          <w:highlight w:val="cyan"/>
        </w:rPr>
        <w:t>ditor</w:t>
      </w:r>
      <w:r w:rsidR="00E06013">
        <w:rPr>
          <w:b/>
          <w:highlight w:val="cyan"/>
        </w:rPr>
        <w:t>’</w:t>
      </w:r>
      <w:r w:rsidR="00E06013" w:rsidRPr="005C08AC">
        <w:rPr>
          <w:b/>
          <w:highlight w:val="cyan"/>
        </w:rPr>
        <w:t>s Note</w:t>
      </w:r>
      <w:r w:rsidRPr="005C08AC">
        <w:rPr>
          <w:b/>
          <w:highlight w:val="cyan"/>
        </w:rPr>
        <w:t>:  WP 5D will need to create this at the July 2012 meeting</w:t>
      </w:r>
      <w:r>
        <w:rPr>
          <w:b/>
          <w:highlight w:val="cyan"/>
        </w:rPr>
        <w:t xml:space="preserve">. </w:t>
      </w:r>
    </w:p>
    <w:p w:rsidR="00A65CA6" w:rsidRPr="00D65F84" w:rsidRDefault="00A65CA6" w:rsidP="00E06013">
      <w:pPr>
        <w:pStyle w:val="Appendixtitle"/>
      </w:pPr>
      <w:r w:rsidRPr="00D65F84">
        <w:t>C</w:t>
      </w:r>
      <w:r w:rsidR="00E06013" w:rsidRPr="00D65F84">
        <w:t>haracteristics</w:t>
      </w:r>
      <w:r w:rsidR="00E06013">
        <w:t xml:space="preserve"> of IMT-</w:t>
      </w:r>
      <w:r w:rsidRPr="00D65F84">
        <w:t>A</w:t>
      </w:r>
      <w:r w:rsidR="00E06013" w:rsidRPr="00D65F84">
        <w:t>dvanced systems</w:t>
      </w:r>
      <w:r w:rsidRPr="00D65F84">
        <w:t xml:space="preserve"> in the </w:t>
      </w:r>
      <w:r w:rsidRPr="00D65F84">
        <w:rPr>
          <w:highlight w:val="yellow"/>
        </w:rPr>
        <w:t>[450-960] MHz</w:t>
      </w:r>
      <w:r w:rsidRPr="00D65F84">
        <w:t xml:space="preserve"> </w:t>
      </w:r>
      <w:r w:rsidR="00E06013">
        <w:t>band</w:t>
      </w:r>
      <w:r w:rsidR="00E06013">
        <w:br/>
      </w:r>
      <w:r w:rsidR="00E06013" w:rsidRPr="00D65F84">
        <w:t>for use in sharing studies</w:t>
      </w:r>
      <w:r>
        <w:rPr>
          <w:rStyle w:val="FootnoteReference"/>
          <w:rFonts w:cstheme="minorHAnsi"/>
          <w:b w:val="0"/>
          <w:color w:val="0C0C0C"/>
        </w:rPr>
        <w:footnoteReference w:id="3"/>
      </w:r>
    </w:p>
    <w:p w:rsidR="00A65CA6" w:rsidRDefault="00A65CA6" w:rsidP="00A65CA6">
      <w:pPr>
        <w:pStyle w:val="Header"/>
        <w:rPr>
          <w:rFonts w:cstheme="minorHAnsi"/>
          <w:b/>
          <w:color w:val="0C0C0C"/>
        </w:rPr>
      </w:pPr>
      <w:r w:rsidRPr="00D65F84">
        <w:rPr>
          <w:rFonts w:cstheme="minorHAnsi"/>
          <w:b/>
          <w:color w:val="0C0C0C"/>
          <w:highlight w:val="yellow"/>
        </w:rPr>
        <w:t>Note</w:t>
      </w:r>
      <w:r w:rsidR="00E06013">
        <w:rPr>
          <w:rFonts w:cstheme="minorHAnsi"/>
          <w:b/>
          <w:color w:val="0C0C0C"/>
          <w:highlight w:val="yellow"/>
        </w:rPr>
        <w:t xml:space="preserve"> </w:t>
      </w:r>
      <w:r>
        <w:rPr>
          <w:rFonts w:cstheme="minorHAnsi"/>
          <w:b/>
          <w:color w:val="0C0C0C"/>
          <w:highlight w:val="yellow"/>
        </w:rPr>
        <w:t>1</w:t>
      </w:r>
      <w:r w:rsidRPr="00D65F84">
        <w:rPr>
          <w:rFonts w:cstheme="minorHAnsi"/>
          <w:b/>
          <w:color w:val="0C0C0C"/>
          <w:highlight w:val="yellow"/>
        </w:rPr>
        <w:t>:  A separate table should be completed using this template for each relevant frequency band and/or range.</w:t>
      </w:r>
    </w:p>
    <w:p w:rsidR="00A65CA6" w:rsidRPr="00E65DF3" w:rsidRDefault="00A65CA6" w:rsidP="00A65CA6">
      <w:pPr>
        <w:pStyle w:val="Header"/>
        <w:rPr>
          <w:rFonts w:cstheme="minorHAnsi"/>
          <w:b/>
          <w:color w:val="0C0C0C"/>
        </w:rPr>
      </w:pPr>
      <w:r w:rsidRPr="0023475B">
        <w:rPr>
          <w:rFonts w:cstheme="minorHAnsi"/>
          <w:b/>
          <w:color w:val="0C0C0C"/>
          <w:highlight w:val="yellow"/>
        </w:rPr>
        <w:t>Note 2: If additional rows are required in the table for certain parameters , please add as appropriate and note th</w:t>
      </w:r>
      <w:r>
        <w:rPr>
          <w:rFonts w:cstheme="minorHAnsi"/>
          <w:b/>
          <w:color w:val="0C0C0C"/>
          <w:highlight w:val="yellow"/>
        </w:rPr>
        <w:t>r</w:t>
      </w:r>
      <w:r w:rsidRPr="0023475B">
        <w:rPr>
          <w:rFonts w:cstheme="minorHAnsi"/>
          <w:b/>
          <w:color w:val="0C0C0C"/>
          <w:highlight w:val="yellow"/>
        </w:rPr>
        <w:t>ough “track change mode” or by other suitable means.</w:t>
      </w:r>
    </w:p>
    <w:tbl>
      <w:tblPr>
        <w:tblStyle w:val="TableGrid"/>
        <w:tblW w:w="5000" w:type="pct"/>
        <w:tblLook w:val="04A0" w:firstRow="1" w:lastRow="0" w:firstColumn="1" w:lastColumn="0" w:noHBand="0" w:noVBand="1"/>
      </w:tblPr>
      <w:tblGrid>
        <w:gridCol w:w="616"/>
        <w:gridCol w:w="1515"/>
        <w:gridCol w:w="976"/>
        <w:gridCol w:w="966"/>
        <w:gridCol w:w="73"/>
        <w:gridCol w:w="924"/>
        <w:gridCol w:w="1031"/>
        <w:gridCol w:w="897"/>
        <w:gridCol w:w="978"/>
        <w:gridCol w:w="911"/>
        <w:gridCol w:w="968"/>
      </w:tblGrid>
      <w:tr w:rsidR="00A65CA6" w:rsidRPr="007B01B6" w:rsidTr="00E06013">
        <w:trPr>
          <w:tblHeader/>
        </w:trPr>
        <w:tc>
          <w:tcPr>
            <w:tcW w:w="313" w:type="pct"/>
          </w:tcPr>
          <w:p w:rsidR="00A65CA6" w:rsidRPr="007B01B6" w:rsidRDefault="00A65CA6" w:rsidP="00E06013">
            <w:pPr>
              <w:pStyle w:val="Tablehead"/>
            </w:pPr>
          </w:p>
        </w:tc>
        <w:tc>
          <w:tcPr>
            <w:tcW w:w="769" w:type="pct"/>
          </w:tcPr>
          <w:p w:rsidR="00A65CA6" w:rsidRPr="00EF6DC1" w:rsidRDefault="00A65CA6" w:rsidP="00E06013">
            <w:pPr>
              <w:pStyle w:val="Tablehead"/>
            </w:pPr>
            <w:r w:rsidRPr="00EF6DC1">
              <w:t>R</w:t>
            </w:r>
            <w:r w:rsidR="00E06013" w:rsidRPr="00EF6DC1">
              <w:t>adio interface</w:t>
            </w:r>
          </w:p>
        </w:tc>
        <w:tc>
          <w:tcPr>
            <w:tcW w:w="2014" w:type="pct"/>
            <w:gridSpan w:val="5"/>
          </w:tcPr>
          <w:p w:rsidR="00A65CA6" w:rsidRPr="00D65F84" w:rsidRDefault="00A65CA6" w:rsidP="00E06013">
            <w:pPr>
              <w:pStyle w:val="Tablehead"/>
            </w:pPr>
            <w:r w:rsidRPr="00D65F84">
              <w:rPr>
                <w:rFonts w:eastAsia="SimSun"/>
              </w:rPr>
              <w:t xml:space="preserve"> “LTE-Advanced”</w:t>
            </w:r>
            <w:r w:rsidRPr="00D65F84">
              <w:rPr>
                <w:rStyle w:val="FootnoteReference"/>
                <w:rFonts w:eastAsia="SimSun"/>
                <w:b w:val="0"/>
              </w:rPr>
              <w:footnoteReference w:id="4"/>
            </w:r>
          </w:p>
          <w:p w:rsidR="00A65CA6" w:rsidRPr="00EF6DC1" w:rsidRDefault="00A65CA6" w:rsidP="00E06013">
            <w:pPr>
              <w:pStyle w:val="Tablehead"/>
            </w:pPr>
          </w:p>
        </w:tc>
        <w:tc>
          <w:tcPr>
            <w:tcW w:w="1904" w:type="pct"/>
            <w:gridSpan w:val="4"/>
          </w:tcPr>
          <w:p w:rsidR="00A65CA6" w:rsidRPr="00D65F84" w:rsidRDefault="00A65CA6" w:rsidP="00E06013">
            <w:pPr>
              <w:pStyle w:val="Tablehead"/>
            </w:pPr>
            <w:r w:rsidRPr="00D65F84">
              <w:rPr>
                <w:rFonts w:eastAsia="SimSun"/>
              </w:rPr>
              <w:t>“</w:t>
            </w:r>
            <w:proofErr w:type="spellStart"/>
            <w:r w:rsidRPr="00D65F84">
              <w:rPr>
                <w:rFonts w:eastAsia="SimSun"/>
              </w:rPr>
              <w:t>WirelessMAN</w:t>
            </w:r>
            <w:proofErr w:type="spellEnd"/>
            <w:r w:rsidRPr="00D65F84">
              <w:rPr>
                <w:rFonts w:eastAsia="SimSun"/>
              </w:rPr>
              <w:t>-Advanced”</w:t>
            </w:r>
            <w:r w:rsidRPr="00D65F84">
              <w:rPr>
                <w:rStyle w:val="FootnoteReference"/>
                <w:rFonts w:eastAsia="SimSun"/>
                <w:b w:val="0"/>
              </w:rPr>
              <w:footnoteReference w:id="5"/>
            </w:r>
          </w:p>
        </w:tc>
      </w:tr>
      <w:tr w:rsidR="00A65CA6" w:rsidRPr="007B01B6" w:rsidTr="00E06013">
        <w:trPr>
          <w:tblHeader/>
        </w:trPr>
        <w:tc>
          <w:tcPr>
            <w:tcW w:w="313" w:type="pct"/>
          </w:tcPr>
          <w:p w:rsidR="00A65CA6" w:rsidRPr="007B01B6" w:rsidRDefault="00A65CA6" w:rsidP="00E06013">
            <w:pPr>
              <w:pStyle w:val="Tablehead"/>
            </w:pPr>
          </w:p>
        </w:tc>
        <w:tc>
          <w:tcPr>
            <w:tcW w:w="769" w:type="pct"/>
          </w:tcPr>
          <w:p w:rsidR="00A65CA6" w:rsidRPr="00EF6DC1" w:rsidRDefault="00A65CA6" w:rsidP="00E06013">
            <w:pPr>
              <w:pStyle w:val="Tablehead"/>
            </w:pPr>
            <w:r w:rsidRPr="00EF6DC1">
              <w:t xml:space="preserve">Duplex </w:t>
            </w:r>
            <w:r w:rsidR="00E06013" w:rsidRPr="00EF6DC1">
              <w:t>m</w:t>
            </w:r>
            <w:r w:rsidRPr="00EF6DC1">
              <w:t>ode</w:t>
            </w:r>
          </w:p>
        </w:tc>
        <w:tc>
          <w:tcPr>
            <w:tcW w:w="985" w:type="pct"/>
            <w:gridSpan w:val="2"/>
          </w:tcPr>
          <w:p w:rsidR="00A65CA6" w:rsidRPr="00EF6DC1" w:rsidRDefault="00A65CA6" w:rsidP="00E06013">
            <w:pPr>
              <w:pStyle w:val="Tablehead"/>
            </w:pPr>
            <w:r w:rsidRPr="00EF6DC1">
              <w:t>FDD</w:t>
            </w:r>
          </w:p>
        </w:tc>
        <w:tc>
          <w:tcPr>
            <w:tcW w:w="1029" w:type="pct"/>
            <w:gridSpan w:val="3"/>
          </w:tcPr>
          <w:p w:rsidR="00A65CA6" w:rsidRPr="00EF6DC1" w:rsidRDefault="00A65CA6" w:rsidP="00E06013">
            <w:pPr>
              <w:pStyle w:val="Tablehead"/>
            </w:pPr>
            <w:r w:rsidRPr="00EF6DC1">
              <w:t>TDD</w:t>
            </w:r>
          </w:p>
        </w:tc>
        <w:tc>
          <w:tcPr>
            <w:tcW w:w="951" w:type="pct"/>
            <w:gridSpan w:val="2"/>
          </w:tcPr>
          <w:p w:rsidR="00A65CA6" w:rsidRPr="00EF6DC1" w:rsidRDefault="00A65CA6" w:rsidP="00E06013">
            <w:pPr>
              <w:pStyle w:val="Tablehead"/>
            </w:pPr>
            <w:r w:rsidRPr="00EF6DC1">
              <w:t>FDD</w:t>
            </w:r>
          </w:p>
        </w:tc>
        <w:tc>
          <w:tcPr>
            <w:tcW w:w="953" w:type="pct"/>
            <w:gridSpan w:val="2"/>
          </w:tcPr>
          <w:p w:rsidR="00A65CA6" w:rsidRPr="00EF6DC1" w:rsidRDefault="00A65CA6" w:rsidP="00E06013">
            <w:pPr>
              <w:pStyle w:val="Tablehead"/>
            </w:pPr>
            <w:r w:rsidRPr="00EF6DC1">
              <w:t>TDD</w:t>
            </w:r>
          </w:p>
        </w:tc>
      </w:tr>
      <w:tr w:rsidR="00A65CA6" w:rsidRPr="007B01B6" w:rsidTr="00E06013">
        <w:trPr>
          <w:tblHeader/>
        </w:trPr>
        <w:tc>
          <w:tcPr>
            <w:tcW w:w="313" w:type="pct"/>
          </w:tcPr>
          <w:p w:rsidR="00A65CA6" w:rsidRPr="007B01B6" w:rsidRDefault="00A65CA6" w:rsidP="00E06013">
            <w:pPr>
              <w:pStyle w:val="Tablehead"/>
            </w:pPr>
            <w:r w:rsidRPr="007B01B6">
              <w:rPr>
                <w:color w:val="0F0F0F"/>
              </w:rPr>
              <w:t>No.</w:t>
            </w:r>
          </w:p>
        </w:tc>
        <w:tc>
          <w:tcPr>
            <w:tcW w:w="769" w:type="pct"/>
          </w:tcPr>
          <w:p w:rsidR="00A65CA6" w:rsidRPr="007B01B6" w:rsidRDefault="00A65CA6" w:rsidP="00E06013">
            <w:pPr>
              <w:pStyle w:val="Tablehead"/>
            </w:pPr>
            <w:r w:rsidRPr="007B01B6">
              <w:rPr>
                <w:color w:val="0D0D0D"/>
              </w:rPr>
              <w:t>Parameter</w:t>
            </w:r>
          </w:p>
        </w:tc>
        <w:tc>
          <w:tcPr>
            <w:tcW w:w="495" w:type="pct"/>
          </w:tcPr>
          <w:p w:rsidR="00A65CA6" w:rsidRPr="007B01B6" w:rsidRDefault="00A65CA6" w:rsidP="00E06013">
            <w:pPr>
              <w:pStyle w:val="Tablehead"/>
            </w:pPr>
            <w:r w:rsidRPr="007B01B6">
              <w:rPr>
                <w:color w:val="0E0E0E"/>
              </w:rPr>
              <w:t xml:space="preserve">Base </w:t>
            </w:r>
            <w:r w:rsidR="00E06013" w:rsidRPr="007B01B6">
              <w:rPr>
                <w:color w:val="0E0E0E"/>
              </w:rPr>
              <w:t>s</w:t>
            </w:r>
            <w:r w:rsidRPr="007B01B6">
              <w:rPr>
                <w:color w:val="0E0E0E"/>
              </w:rPr>
              <w:t>tation</w:t>
            </w:r>
          </w:p>
        </w:tc>
        <w:tc>
          <w:tcPr>
            <w:tcW w:w="490" w:type="pct"/>
          </w:tcPr>
          <w:p w:rsidR="00A65CA6" w:rsidRPr="007B01B6" w:rsidRDefault="00A65CA6" w:rsidP="00E06013">
            <w:pPr>
              <w:pStyle w:val="Tablehead"/>
            </w:pPr>
            <w:r w:rsidRPr="007B01B6">
              <w:rPr>
                <w:color w:val="0D0D0D"/>
              </w:rPr>
              <w:t xml:space="preserve">Mobile </w:t>
            </w:r>
            <w:r w:rsidR="00E06013" w:rsidRPr="007B01B6">
              <w:rPr>
                <w:color w:val="0D0D0D"/>
              </w:rPr>
              <w:t>s</w:t>
            </w:r>
            <w:r w:rsidRPr="007B01B6">
              <w:rPr>
                <w:color w:val="0D0D0D"/>
              </w:rPr>
              <w:t>tation</w:t>
            </w:r>
          </w:p>
        </w:tc>
        <w:tc>
          <w:tcPr>
            <w:tcW w:w="506" w:type="pct"/>
            <w:gridSpan w:val="2"/>
          </w:tcPr>
          <w:p w:rsidR="00A65CA6" w:rsidRPr="007B01B6" w:rsidRDefault="00A65CA6" w:rsidP="00E06013">
            <w:pPr>
              <w:pStyle w:val="Tablehead"/>
            </w:pPr>
            <w:r w:rsidRPr="007B01B6">
              <w:rPr>
                <w:color w:val="0E0E0E"/>
              </w:rPr>
              <w:t xml:space="preserve">Base </w:t>
            </w:r>
            <w:r w:rsidR="00E06013" w:rsidRPr="007B01B6">
              <w:rPr>
                <w:color w:val="0E0E0E"/>
              </w:rPr>
              <w:t>s</w:t>
            </w:r>
            <w:r w:rsidRPr="007B01B6">
              <w:rPr>
                <w:color w:val="0E0E0E"/>
              </w:rPr>
              <w:t>tation</w:t>
            </w:r>
          </w:p>
        </w:tc>
        <w:tc>
          <w:tcPr>
            <w:tcW w:w="523" w:type="pct"/>
          </w:tcPr>
          <w:p w:rsidR="00A65CA6" w:rsidRPr="007B01B6" w:rsidRDefault="00A65CA6" w:rsidP="00E06013">
            <w:pPr>
              <w:pStyle w:val="Tablehead"/>
            </w:pPr>
            <w:r w:rsidRPr="007B01B6">
              <w:rPr>
                <w:color w:val="0C0C0C"/>
              </w:rPr>
              <w:t xml:space="preserve">Mobile </w:t>
            </w:r>
            <w:r w:rsidR="00E06013" w:rsidRPr="007B01B6">
              <w:rPr>
                <w:color w:val="0C0C0C"/>
              </w:rPr>
              <w:t>s</w:t>
            </w:r>
            <w:r w:rsidRPr="007B01B6">
              <w:rPr>
                <w:color w:val="0C0C0C"/>
              </w:rPr>
              <w:t>tation</w:t>
            </w:r>
          </w:p>
        </w:tc>
        <w:tc>
          <w:tcPr>
            <w:tcW w:w="455" w:type="pct"/>
          </w:tcPr>
          <w:p w:rsidR="00A65CA6" w:rsidRPr="007B01B6" w:rsidRDefault="00A65CA6" w:rsidP="00E06013">
            <w:pPr>
              <w:pStyle w:val="Tablehead"/>
            </w:pPr>
            <w:r w:rsidRPr="007B01B6">
              <w:rPr>
                <w:color w:val="0E0E0E"/>
              </w:rPr>
              <w:t xml:space="preserve">Base </w:t>
            </w:r>
            <w:r w:rsidR="00E06013" w:rsidRPr="007B01B6">
              <w:rPr>
                <w:color w:val="0E0E0E"/>
              </w:rPr>
              <w:t>s</w:t>
            </w:r>
            <w:r w:rsidRPr="007B01B6">
              <w:rPr>
                <w:color w:val="0E0E0E"/>
              </w:rPr>
              <w:t>tation</w:t>
            </w:r>
          </w:p>
        </w:tc>
        <w:tc>
          <w:tcPr>
            <w:tcW w:w="496" w:type="pct"/>
          </w:tcPr>
          <w:p w:rsidR="00A65CA6" w:rsidRPr="007B01B6" w:rsidRDefault="00A65CA6" w:rsidP="00E06013">
            <w:pPr>
              <w:pStyle w:val="Tablehead"/>
            </w:pPr>
            <w:r w:rsidRPr="007B01B6">
              <w:rPr>
                <w:color w:val="0D0D0D"/>
              </w:rPr>
              <w:t xml:space="preserve">Mobile </w:t>
            </w:r>
            <w:r w:rsidR="00E06013" w:rsidRPr="007B01B6">
              <w:rPr>
                <w:color w:val="0D0D0D"/>
              </w:rPr>
              <w:t>s</w:t>
            </w:r>
            <w:r w:rsidRPr="007B01B6">
              <w:rPr>
                <w:color w:val="0D0D0D"/>
              </w:rPr>
              <w:t>tation</w:t>
            </w:r>
          </w:p>
        </w:tc>
        <w:tc>
          <w:tcPr>
            <w:tcW w:w="462" w:type="pct"/>
          </w:tcPr>
          <w:p w:rsidR="00A65CA6" w:rsidRPr="007B01B6" w:rsidRDefault="00A65CA6" w:rsidP="00E06013">
            <w:pPr>
              <w:pStyle w:val="Tablehead"/>
            </w:pPr>
            <w:r w:rsidRPr="007B01B6">
              <w:rPr>
                <w:color w:val="0E0E0E"/>
              </w:rPr>
              <w:t xml:space="preserve">Base </w:t>
            </w:r>
            <w:r w:rsidR="00E06013" w:rsidRPr="007B01B6">
              <w:rPr>
                <w:color w:val="0E0E0E"/>
              </w:rPr>
              <w:t>s</w:t>
            </w:r>
            <w:r w:rsidRPr="007B01B6">
              <w:rPr>
                <w:color w:val="0E0E0E"/>
              </w:rPr>
              <w:t>tation</w:t>
            </w:r>
          </w:p>
        </w:tc>
        <w:tc>
          <w:tcPr>
            <w:tcW w:w="491" w:type="pct"/>
          </w:tcPr>
          <w:p w:rsidR="00A65CA6" w:rsidRPr="007B01B6" w:rsidRDefault="00A65CA6" w:rsidP="00E06013">
            <w:pPr>
              <w:pStyle w:val="Tablehead"/>
            </w:pPr>
            <w:r w:rsidRPr="007B01B6">
              <w:rPr>
                <w:color w:val="0D0D0D"/>
              </w:rPr>
              <w:t xml:space="preserve">Mobile </w:t>
            </w:r>
            <w:r w:rsidR="00E06013" w:rsidRPr="007B01B6">
              <w:rPr>
                <w:color w:val="0D0D0D"/>
              </w:rPr>
              <w:t>s</w:t>
            </w:r>
            <w:r w:rsidRPr="007B01B6">
              <w:rPr>
                <w:color w:val="0D0D0D"/>
              </w:rPr>
              <w:t>tation</w:t>
            </w: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color w:val="111111"/>
                <w:sz w:val="20"/>
              </w:rPr>
              <w:t>1</w:t>
            </w:r>
          </w:p>
        </w:tc>
        <w:tc>
          <w:tcPr>
            <w:tcW w:w="769" w:type="pct"/>
          </w:tcPr>
          <w:p w:rsidR="00A65CA6" w:rsidRPr="007B01B6" w:rsidRDefault="00A65CA6" w:rsidP="00A65CA6">
            <w:pPr>
              <w:jc w:val="center"/>
              <w:rPr>
                <w:rFonts w:cstheme="minorHAnsi"/>
                <w:b/>
                <w:color w:val="0D0D0D"/>
                <w:sz w:val="20"/>
              </w:rPr>
            </w:pPr>
            <w:r w:rsidRPr="007B01B6">
              <w:rPr>
                <w:rFonts w:cstheme="minorHAnsi"/>
                <w:b/>
                <w:color w:val="0D0D0D"/>
                <w:sz w:val="20"/>
              </w:rPr>
              <w:t>Channel bandwidth (MHz)</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A65CA6">
        <w:tc>
          <w:tcPr>
            <w:tcW w:w="5000" w:type="pct"/>
            <w:gridSpan w:val="11"/>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2</w:t>
            </w:r>
          </w:p>
        </w:tc>
        <w:tc>
          <w:tcPr>
            <w:tcW w:w="769" w:type="pct"/>
          </w:tcPr>
          <w:p w:rsidR="00A65CA6" w:rsidRPr="007B01B6" w:rsidRDefault="00A65CA6" w:rsidP="00E06013">
            <w:pPr>
              <w:jc w:val="center"/>
              <w:rPr>
                <w:rFonts w:cstheme="minorHAnsi"/>
                <w:b/>
                <w:sz w:val="20"/>
              </w:rPr>
            </w:pPr>
            <w:r w:rsidRPr="007B01B6">
              <w:rPr>
                <w:rFonts w:cstheme="minorHAnsi"/>
                <w:b/>
                <w:sz w:val="20"/>
              </w:rPr>
              <w:t>Signal bandwidth (MHZ)</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A65CA6">
        <w:tc>
          <w:tcPr>
            <w:tcW w:w="5000" w:type="pct"/>
            <w:gridSpan w:val="11"/>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w:t>
            </w:r>
          </w:p>
        </w:tc>
        <w:tc>
          <w:tcPr>
            <w:tcW w:w="769" w:type="pct"/>
          </w:tcPr>
          <w:p w:rsidR="00A65CA6" w:rsidRPr="007B01B6" w:rsidRDefault="00A65CA6" w:rsidP="00A65CA6">
            <w:pPr>
              <w:jc w:val="center"/>
              <w:rPr>
                <w:rFonts w:cstheme="minorHAnsi"/>
                <w:b/>
                <w:sz w:val="20"/>
              </w:rPr>
            </w:pPr>
            <w:r w:rsidRPr="007B01B6">
              <w:rPr>
                <w:rFonts w:cstheme="minorHAnsi"/>
                <w:b/>
                <w:sz w:val="20"/>
              </w:rPr>
              <w:t xml:space="preserve">Transmitter </w:t>
            </w:r>
            <w:r w:rsidR="00E06013" w:rsidRPr="007B01B6">
              <w:rPr>
                <w:rFonts w:cstheme="minorHAnsi"/>
                <w:b/>
                <w:sz w:val="20"/>
              </w:rPr>
              <w:t>c</w:t>
            </w:r>
            <w:r w:rsidRPr="007B01B6">
              <w:rPr>
                <w:rFonts w:cstheme="minorHAnsi"/>
                <w:b/>
                <w:sz w:val="20"/>
              </w:rPr>
              <w:t>haracteristics</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3.1</w:t>
            </w:r>
          </w:p>
        </w:tc>
        <w:tc>
          <w:tcPr>
            <w:tcW w:w="769" w:type="pct"/>
          </w:tcPr>
          <w:p w:rsidR="00A65CA6" w:rsidRPr="007B01B6" w:rsidRDefault="00A65CA6" w:rsidP="00E06013">
            <w:pPr>
              <w:jc w:val="center"/>
              <w:rPr>
                <w:rFonts w:cstheme="minorHAnsi"/>
                <w:sz w:val="20"/>
              </w:rPr>
            </w:pPr>
            <w:r w:rsidRPr="007B01B6">
              <w:rPr>
                <w:rFonts w:cstheme="minorHAnsi"/>
                <w:sz w:val="20"/>
              </w:rPr>
              <w:t>Maximum</w:t>
            </w:r>
            <w:r w:rsidR="00E06013">
              <w:rPr>
                <w:rFonts w:cstheme="minorHAnsi"/>
                <w:sz w:val="20"/>
              </w:rPr>
              <w:t xml:space="preserve"> </w:t>
            </w:r>
            <w:r w:rsidRPr="007B01B6">
              <w:rPr>
                <w:rFonts w:cstheme="minorHAnsi"/>
                <w:sz w:val="20"/>
              </w:rPr>
              <w:t xml:space="preserve"> </w:t>
            </w:r>
            <w:proofErr w:type="spellStart"/>
            <w:r w:rsidRPr="007B01B6">
              <w:rPr>
                <w:rFonts w:cstheme="minorHAnsi"/>
                <w:sz w:val="20"/>
              </w:rPr>
              <w:t>e.i.r.p</w:t>
            </w:r>
            <w:proofErr w:type="spellEnd"/>
            <w:r w:rsidRPr="007B01B6">
              <w:rPr>
                <w:rFonts w:cstheme="minorHAnsi"/>
                <w:sz w:val="20"/>
              </w:rPr>
              <w:t xml:space="preserve"> (</w:t>
            </w:r>
            <w:proofErr w:type="spellStart"/>
            <w:r w:rsidRPr="007B01B6">
              <w:rPr>
                <w:rFonts w:cstheme="minorHAnsi"/>
                <w:sz w:val="20"/>
              </w:rPr>
              <w:t>dBm</w:t>
            </w:r>
            <w:proofErr w:type="spellEnd"/>
            <w:r w:rsidRPr="007B01B6">
              <w:rPr>
                <w:rFonts w:cstheme="minorHAnsi"/>
                <w:sz w:val="20"/>
              </w:rPr>
              <w:t>)</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3.2</w:t>
            </w:r>
          </w:p>
        </w:tc>
        <w:tc>
          <w:tcPr>
            <w:tcW w:w="769" w:type="pct"/>
          </w:tcPr>
          <w:p w:rsidR="00A65CA6" w:rsidRPr="007B01B6" w:rsidRDefault="00A65CA6" w:rsidP="00E06013">
            <w:pPr>
              <w:jc w:val="center"/>
              <w:rPr>
                <w:rFonts w:cstheme="minorHAnsi"/>
                <w:sz w:val="20"/>
              </w:rPr>
            </w:pPr>
            <w:r w:rsidRPr="007B01B6">
              <w:rPr>
                <w:rFonts w:cstheme="minorHAnsi"/>
                <w:sz w:val="20"/>
              </w:rPr>
              <w:t>Average</w:t>
            </w:r>
            <w:r w:rsidR="00E06013">
              <w:rPr>
                <w:rFonts w:cstheme="minorHAnsi"/>
                <w:sz w:val="20"/>
              </w:rPr>
              <w:br/>
            </w:r>
            <w:proofErr w:type="spellStart"/>
            <w:r w:rsidRPr="007B01B6">
              <w:rPr>
                <w:rFonts w:cstheme="minorHAnsi"/>
                <w:sz w:val="20"/>
              </w:rPr>
              <w:t>e.i.r.p</w:t>
            </w:r>
            <w:proofErr w:type="spellEnd"/>
            <w:r w:rsidRPr="007B01B6">
              <w:rPr>
                <w:rFonts w:cstheme="minorHAnsi"/>
                <w:sz w:val="20"/>
              </w:rPr>
              <w:t xml:space="preserve"> (</w:t>
            </w:r>
            <w:proofErr w:type="spellStart"/>
            <w:r w:rsidRPr="007B01B6">
              <w:rPr>
                <w:rFonts w:cstheme="minorHAnsi"/>
                <w:sz w:val="20"/>
              </w:rPr>
              <w:t>dBm</w:t>
            </w:r>
            <w:proofErr w:type="spellEnd"/>
            <w:r w:rsidRPr="007B01B6">
              <w:rPr>
                <w:rFonts w:cstheme="minorHAnsi"/>
                <w:sz w:val="20"/>
              </w:rPr>
              <w:t>)</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3.3</w:t>
            </w:r>
          </w:p>
        </w:tc>
        <w:tc>
          <w:tcPr>
            <w:tcW w:w="769" w:type="pct"/>
          </w:tcPr>
          <w:p w:rsidR="00A65CA6" w:rsidRPr="007B01B6" w:rsidRDefault="00A65CA6" w:rsidP="00A65CA6">
            <w:pPr>
              <w:jc w:val="center"/>
              <w:rPr>
                <w:rFonts w:cstheme="minorHAnsi"/>
                <w:sz w:val="20"/>
              </w:rPr>
            </w:pPr>
            <w:r w:rsidRPr="007B01B6">
              <w:rPr>
                <w:rFonts w:cstheme="minorHAnsi"/>
                <w:sz w:val="20"/>
              </w:rPr>
              <w:t>Power dynamic range (dB)</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3.4</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Spectral </w:t>
            </w:r>
            <w:r w:rsidR="00E06013" w:rsidRPr="007B01B6">
              <w:rPr>
                <w:rFonts w:cstheme="minorHAnsi"/>
                <w:sz w:val="20"/>
              </w:rPr>
              <w:t>m</w:t>
            </w:r>
            <w:r w:rsidRPr="007B01B6">
              <w:rPr>
                <w:rFonts w:cstheme="minorHAnsi"/>
                <w:sz w:val="20"/>
              </w:rPr>
              <w:t>ask</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3.5</w:t>
            </w:r>
          </w:p>
        </w:tc>
        <w:tc>
          <w:tcPr>
            <w:tcW w:w="769" w:type="pct"/>
          </w:tcPr>
          <w:p w:rsidR="00A65CA6" w:rsidRPr="007B01B6" w:rsidRDefault="00A65CA6" w:rsidP="00A65CA6">
            <w:pPr>
              <w:jc w:val="center"/>
              <w:rPr>
                <w:rFonts w:cstheme="minorHAnsi"/>
                <w:sz w:val="20"/>
              </w:rPr>
            </w:pPr>
            <w:r w:rsidRPr="007B01B6">
              <w:rPr>
                <w:rFonts w:cstheme="minorHAnsi"/>
                <w:sz w:val="20"/>
              </w:rPr>
              <w:t>ACLR</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3.6</w:t>
            </w:r>
          </w:p>
        </w:tc>
        <w:tc>
          <w:tcPr>
            <w:tcW w:w="769" w:type="pct"/>
          </w:tcPr>
          <w:p w:rsidR="00A65CA6" w:rsidRPr="007B01B6" w:rsidRDefault="00A65CA6" w:rsidP="00A65CA6">
            <w:pPr>
              <w:jc w:val="center"/>
              <w:rPr>
                <w:rFonts w:cstheme="minorHAnsi"/>
                <w:sz w:val="20"/>
              </w:rPr>
            </w:pPr>
            <w:r w:rsidRPr="007B01B6">
              <w:rPr>
                <w:rFonts w:cstheme="minorHAnsi"/>
                <w:sz w:val="20"/>
              </w:rPr>
              <w:t>Maximum spectral power</w:t>
            </w:r>
          </w:p>
        </w:tc>
        <w:tc>
          <w:tcPr>
            <w:tcW w:w="495" w:type="pct"/>
          </w:tcPr>
          <w:p w:rsidR="00A65CA6" w:rsidRPr="007B01B6" w:rsidRDefault="00A65CA6" w:rsidP="00A65CA6">
            <w:pPr>
              <w:jc w:val="center"/>
              <w:rPr>
                <w:rFonts w:cstheme="minorHAnsi"/>
                <w:sz w:val="20"/>
              </w:rPr>
            </w:pPr>
          </w:p>
        </w:tc>
        <w:tc>
          <w:tcPr>
            <w:tcW w:w="490" w:type="pct"/>
          </w:tcPr>
          <w:p w:rsidR="00A65CA6" w:rsidRPr="007B01B6" w:rsidRDefault="00A65CA6" w:rsidP="00A65CA6">
            <w:pPr>
              <w:jc w:val="center"/>
              <w:rPr>
                <w:rFonts w:cstheme="minorHAnsi"/>
                <w:sz w:val="20"/>
              </w:rPr>
            </w:pPr>
          </w:p>
        </w:tc>
        <w:tc>
          <w:tcPr>
            <w:tcW w:w="506" w:type="pct"/>
            <w:gridSpan w:val="2"/>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A65CA6">
        <w:tc>
          <w:tcPr>
            <w:tcW w:w="5000" w:type="pct"/>
            <w:gridSpan w:val="11"/>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4</w:t>
            </w:r>
          </w:p>
        </w:tc>
        <w:tc>
          <w:tcPr>
            <w:tcW w:w="769" w:type="pct"/>
          </w:tcPr>
          <w:p w:rsidR="00A65CA6" w:rsidRPr="007B01B6" w:rsidRDefault="00A65CA6" w:rsidP="00A65CA6">
            <w:pPr>
              <w:jc w:val="center"/>
              <w:rPr>
                <w:rFonts w:cstheme="minorHAnsi"/>
                <w:b/>
                <w:sz w:val="20"/>
              </w:rPr>
            </w:pPr>
            <w:r w:rsidRPr="007B01B6">
              <w:rPr>
                <w:rFonts w:cstheme="minorHAnsi"/>
                <w:b/>
                <w:sz w:val="20"/>
              </w:rPr>
              <w:t xml:space="preserve">Receiver </w:t>
            </w:r>
            <w:r w:rsidR="00E06013" w:rsidRPr="007B01B6">
              <w:rPr>
                <w:rFonts w:cstheme="minorHAnsi"/>
                <w:b/>
                <w:sz w:val="20"/>
              </w:rPr>
              <w:t>c</w:t>
            </w:r>
            <w:r w:rsidRPr="007B01B6">
              <w:rPr>
                <w:rFonts w:cstheme="minorHAnsi"/>
                <w:b/>
                <w:sz w:val="20"/>
              </w:rPr>
              <w:t>haracteristics</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4.1</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Thermal </w:t>
            </w:r>
            <w:r w:rsidR="00E06013" w:rsidRPr="007B01B6">
              <w:rPr>
                <w:rFonts w:cstheme="minorHAnsi"/>
                <w:sz w:val="20"/>
              </w:rPr>
              <w:t>n</w:t>
            </w:r>
            <w:r w:rsidRPr="007B01B6">
              <w:rPr>
                <w:rFonts w:cstheme="minorHAnsi"/>
                <w:sz w:val="20"/>
              </w:rPr>
              <w:t>oise</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4.2</w:t>
            </w:r>
          </w:p>
        </w:tc>
        <w:tc>
          <w:tcPr>
            <w:tcW w:w="769" w:type="pct"/>
          </w:tcPr>
          <w:p w:rsidR="00A65CA6" w:rsidRPr="007B01B6" w:rsidRDefault="00A65CA6" w:rsidP="00A65CA6">
            <w:pPr>
              <w:jc w:val="center"/>
              <w:rPr>
                <w:rFonts w:cstheme="minorHAnsi"/>
                <w:sz w:val="20"/>
              </w:rPr>
            </w:pPr>
            <w:r w:rsidRPr="007B01B6">
              <w:rPr>
                <w:rFonts w:cstheme="minorHAnsi"/>
                <w:sz w:val="20"/>
              </w:rPr>
              <w:t>Sensitivity</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4.3</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Blocking </w:t>
            </w:r>
            <w:r w:rsidR="005456A5" w:rsidRPr="007B01B6">
              <w:rPr>
                <w:rFonts w:cstheme="minorHAnsi"/>
                <w:sz w:val="20"/>
              </w:rPr>
              <w:t>r</w:t>
            </w:r>
            <w:r w:rsidRPr="007B01B6">
              <w:rPr>
                <w:rFonts w:cstheme="minorHAnsi"/>
                <w:sz w:val="20"/>
              </w:rPr>
              <w:t>esponse</w:t>
            </w:r>
          </w:p>
        </w:tc>
        <w:tc>
          <w:tcPr>
            <w:tcW w:w="495" w:type="pct"/>
          </w:tcPr>
          <w:p w:rsidR="00A65CA6" w:rsidRPr="007B01B6" w:rsidRDefault="00A65CA6" w:rsidP="00A65CA6">
            <w:pPr>
              <w:jc w:val="center"/>
              <w:rPr>
                <w:rStyle w:val="FootnoteReference"/>
                <w:rFonts w:cstheme="minorHAnsi"/>
                <w:sz w:val="20"/>
              </w:rPr>
            </w:pPr>
          </w:p>
        </w:tc>
        <w:tc>
          <w:tcPr>
            <w:tcW w:w="527" w:type="pct"/>
            <w:gridSpan w:val="2"/>
          </w:tcPr>
          <w:p w:rsidR="00A65CA6" w:rsidRPr="007B01B6" w:rsidRDefault="00A65CA6" w:rsidP="00A65CA6">
            <w:pPr>
              <w:jc w:val="center"/>
              <w:rPr>
                <w:rStyle w:val="FootnoteReference"/>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4.4</w:t>
            </w:r>
          </w:p>
        </w:tc>
        <w:tc>
          <w:tcPr>
            <w:tcW w:w="769" w:type="pct"/>
          </w:tcPr>
          <w:p w:rsidR="00A65CA6" w:rsidRPr="007B01B6" w:rsidRDefault="00A65CA6" w:rsidP="00A65CA6">
            <w:pPr>
              <w:jc w:val="center"/>
              <w:rPr>
                <w:rFonts w:cstheme="minorHAnsi"/>
                <w:sz w:val="20"/>
              </w:rPr>
            </w:pPr>
            <w:r w:rsidRPr="007B01B6">
              <w:rPr>
                <w:rFonts w:cstheme="minorHAnsi"/>
                <w:sz w:val="20"/>
              </w:rPr>
              <w:t>ACS</w:t>
            </w:r>
          </w:p>
        </w:tc>
        <w:tc>
          <w:tcPr>
            <w:tcW w:w="495" w:type="pct"/>
          </w:tcPr>
          <w:p w:rsidR="00A65CA6" w:rsidRPr="007B01B6" w:rsidRDefault="00A65CA6" w:rsidP="00A65CA6">
            <w:pPr>
              <w:jc w:val="center"/>
              <w:rPr>
                <w:rStyle w:val="FootnoteReference"/>
                <w:rFonts w:cstheme="minorHAnsi"/>
                <w:sz w:val="20"/>
              </w:rPr>
            </w:pPr>
          </w:p>
        </w:tc>
        <w:tc>
          <w:tcPr>
            <w:tcW w:w="527" w:type="pct"/>
            <w:gridSpan w:val="2"/>
          </w:tcPr>
          <w:p w:rsidR="00A65CA6" w:rsidRPr="007B01B6" w:rsidRDefault="00A65CA6" w:rsidP="00A65CA6">
            <w:pPr>
              <w:jc w:val="center"/>
              <w:rPr>
                <w:rStyle w:val="FootnoteReference"/>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A65CA6">
        <w:tc>
          <w:tcPr>
            <w:tcW w:w="5000" w:type="pct"/>
            <w:gridSpan w:val="11"/>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w:t>
            </w:r>
          </w:p>
        </w:tc>
        <w:tc>
          <w:tcPr>
            <w:tcW w:w="769" w:type="pct"/>
          </w:tcPr>
          <w:p w:rsidR="00A65CA6" w:rsidRPr="007B01B6" w:rsidRDefault="00A65CA6" w:rsidP="00A65CA6">
            <w:pPr>
              <w:jc w:val="center"/>
              <w:rPr>
                <w:rFonts w:cstheme="minorHAnsi"/>
                <w:b/>
                <w:sz w:val="20"/>
              </w:rPr>
            </w:pPr>
            <w:r w:rsidRPr="007B01B6">
              <w:rPr>
                <w:rFonts w:cstheme="minorHAnsi"/>
                <w:b/>
                <w:sz w:val="20"/>
              </w:rPr>
              <w:t xml:space="preserve">Antenna </w:t>
            </w:r>
            <w:r w:rsidR="005456A5" w:rsidRPr="007B01B6">
              <w:rPr>
                <w:rFonts w:cstheme="minorHAnsi"/>
                <w:b/>
                <w:sz w:val="20"/>
              </w:rPr>
              <w:t>c</w:t>
            </w:r>
            <w:r w:rsidRPr="007B01B6">
              <w:rPr>
                <w:rFonts w:cstheme="minorHAnsi"/>
                <w:b/>
                <w:sz w:val="20"/>
              </w:rPr>
              <w:t>haracteristics</w:t>
            </w:r>
          </w:p>
        </w:tc>
        <w:tc>
          <w:tcPr>
            <w:tcW w:w="495" w:type="pct"/>
          </w:tcPr>
          <w:p w:rsidR="00A65CA6" w:rsidRPr="007B01B6" w:rsidRDefault="00A65CA6" w:rsidP="00A65CA6">
            <w:pPr>
              <w:jc w:val="center"/>
              <w:rPr>
                <w:rStyle w:val="FootnoteReference"/>
                <w:rFonts w:cstheme="minorHAnsi"/>
                <w:sz w:val="20"/>
              </w:rPr>
            </w:pPr>
          </w:p>
        </w:tc>
        <w:tc>
          <w:tcPr>
            <w:tcW w:w="527" w:type="pct"/>
            <w:gridSpan w:val="2"/>
          </w:tcPr>
          <w:p w:rsidR="00A65CA6" w:rsidRPr="007B01B6" w:rsidRDefault="00A65CA6" w:rsidP="00A65CA6">
            <w:pPr>
              <w:jc w:val="center"/>
              <w:rPr>
                <w:rStyle w:val="FootnoteReference"/>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5.1</w:t>
            </w:r>
          </w:p>
        </w:tc>
        <w:tc>
          <w:tcPr>
            <w:tcW w:w="769" w:type="pct"/>
          </w:tcPr>
          <w:p w:rsidR="00A65CA6" w:rsidRPr="007B01B6" w:rsidRDefault="00A65CA6" w:rsidP="00A65CA6">
            <w:pPr>
              <w:jc w:val="center"/>
              <w:rPr>
                <w:rFonts w:cstheme="minorHAnsi"/>
                <w:sz w:val="20"/>
              </w:rPr>
            </w:pPr>
            <w:r w:rsidRPr="007B01B6">
              <w:rPr>
                <w:rFonts w:cstheme="minorHAnsi"/>
                <w:sz w:val="20"/>
              </w:rPr>
              <w:t>Gain (</w:t>
            </w:r>
            <w:proofErr w:type="spellStart"/>
            <w:r w:rsidRPr="007B01B6">
              <w:rPr>
                <w:rFonts w:cstheme="minorHAnsi"/>
                <w:sz w:val="20"/>
              </w:rPr>
              <w:t>dBi</w:t>
            </w:r>
            <w:proofErr w:type="spellEnd"/>
            <w:r w:rsidRPr="007B01B6">
              <w:rPr>
                <w:rFonts w:cstheme="minorHAnsi"/>
                <w:sz w:val="20"/>
              </w:rPr>
              <w:t>)</w:t>
            </w:r>
          </w:p>
        </w:tc>
        <w:tc>
          <w:tcPr>
            <w:tcW w:w="495" w:type="pct"/>
          </w:tcPr>
          <w:p w:rsidR="00A65CA6" w:rsidRPr="007B01B6" w:rsidRDefault="00A65CA6" w:rsidP="00A65CA6">
            <w:pPr>
              <w:jc w:val="center"/>
              <w:rPr>
                <w:rStyle w:val="FootnoteReference"/>
                <w:rFonts w:cstheme="minorHAnsi"/>
                <w:sz w:val="20"/>
              </w:rPr>
            </w:pPr>
          </w:p>
        </w:tc>
        <w:tc>
          <w:tcPr>
            <w:tcW w:w="527" w:type="pct"/>
            <w:gridSpan w:val="2"/>
          </w:tcPr>
          <w:p w:rsidR="00A65CA6" w:rsidRPr="007B01B6" w:rsidRDefault="00A65CA6" w:rsidP="00A65CA6">
            <w:pPr>
              <w:jc w:val="center"/>
              <w:rPr>
                <w:rStyle w:val="FootnoteReference"/>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5.2</w:t>
            </w:r>
          </w:p>
        </w:tc>
        <w:tc>
          <w:tcPr>
            <w:tcW w:w="769" w:type="pct"/>
          </w:tcPr>
          <w:p w:rsidR="00A65CA6" w:rsidRPr="007B01B6" w:rsidRDefault="00A65CA6" w:rsidP="00A65CA6">
            <w:pPr>
              <w:jc w:val="center"/>
              <w:rPr>
                <w:rFonts w:cstheme="minorHAnsi"/>
                <w:sz w:val="20"/>
              </w:rPr>
            </w:pPr>
            <w:r w:rsidRPr="007B01B6">
              <w:rPr>
                <w:rFonts w:cstheme="minorHAnsi"/>
                <w:sz w:val="20"/>
              </w:rPr>
              <w:t>Height (m)</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5.3</w:t>
            </w:r>
          </w:p>
        </w:tc>
        <w:tc>
          <w:tcPr>
            <w:tcW w:w="769" w:type="pct"/>
          </w:tcPr>
          <w:p w:rsidR="00A65CA6" w:rsidRPr="007B01B6" w:rsidRDefault="00A65CA6" w:rsidP="00A65CA6">
            <w:pPr>
              <w:jc w:val="center"/>
              <w:rPr>
                <w:rFonts w:cstheme="minorHAnsi"/>
                <w:sz w:val="20"/>
              </w:rPr>
            </w:pPr>
            <w:r w:rsidRPr="007B01B6">
              <w:rPr>
                <w:rFonts w:cstheme="minorHAnsi"/>
                <w:sz w:val="20"/>
              </w:rPr>
              <w:t>Type</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5.4</w:t>
            </w:r>
          </w:p>
        </w:tc>
        <w:tc>
          <w:tcPr>
            <w:tcW w:w="769" w:type="pct"/>
          </w:tcPr>
          <w:p w:rsidR="00A65CA6" w:rsidRPr="007B01B6" w:rsidRDefault="00A65CA6" w:rsidP="00A65CA6">
            <w:pPr>
              <w:jc w:val="center"/>
              <w:rPr>
                <w:rFonts w:cstheme="minorHAnsi"/>
                <w:sz w:val="20"/>
              </w:rPr>
            </w:pPr>
            <w:r w:rsidRPr="007B01B6">
              <w:rPr>
                <w:rFonts w:cstheme="minorHAnsi"/>
                <w:sz w:val="20"/>
              </w:rPr>
              <w:t>Pattern</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5.4.1</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Width in </w:t>
            </w:r>
            <w:r w:rsidR="005456A5" w:rsidRPr="007B01B6">
              <w:rPr>
                <w:rFonts w:cstheme="minorHAnsi"/>
                <w:sz w:val="20"/>
              </w:rPr>
              <w:t>h</w:t>
            </w:r>
            <w:r w:rsidRPr="007B01B6">
              <w:rPr>
                <w:rFonts w:cstheme="minorHAnsi"/>
                <w:sz w:val="20"/>
              </w:rPr>
              <w:t xml:space="preserve">orizontal </w:t>
            </w:r>
            <w:r w:rsidR="005456A5" w:rsidRPr="007B01B6">
              <w:rPr>
                <w:rFonts w:cstheme="minorHAnsi"/>
                <w:sz w:val="20"/>
              </w:rPr>
              <w:t>p</w:t>
            </w:r>
            <w:r w:rsidRPr="007B01B6">
              <w:rPr>
                <w:rFonts w:cstheme="minorHAnsi"/>
                <w:sz w:val="20"/>
              </w:rPr>
              <w:t>lane (°)</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5.4.2</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Width in </w:t>
            </w:r>
            <w:r w:rsidR="005456A5" w:rsidRPr="007B01B6">
              <w:rPr>
                <w:rFonts w:cstheme="minorHAnsi"/>
                <w:sz w:val="20"/>
              </w:rPr>
              <w:t>v</w:t>
            </w:r>
            <w:r w:rsidRPr="007B01B6">
              <w:rPr>
                <w:rFonts w:cstheme="minorHAnsi"/>
                <w:sz w:val="20"/>
              </w:rPr>
              <w:t xml:space="preserve">ertical </w:t>
            </w:r>
            <w:r w:rsidR="005456A5" w:rsidRPr="007B01B6">
              <w:rPr>
                <w:rFonts w:cstheme="minorHAnsi"/>
                <w:sz w:val="20"/>
              </w:rPr>
              <w:t>p</w:t>
            </w:r>
            <w:r w:rsidRPr="007B01B6">
              <w:rPr>
                <w:rFonts w:cstheme="minorHAnsi"/>
                <w:sz w:val="20"/>
              </w:rPr>
              <w:t xml:space="preserve">lane (°) </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5.4.3</w:t>
            </w:r>
          </w:p>
        </w:tc>
        <w:tc>
          <w:tcPr>
            <w:tcW w:w="769" w:type="pct"/>
          </w:tcPr>
          <w:p w:rsidR="00A65CA6" w:rsidRPr="007B01B6" w:rsidRDefault="00A65CA6" w:rsidP="00A65CA6">
            <w:pPr>
              <w:jc w:val="center"/>
              <w:rPr>
                <w:rFonts w:cstheme="minorHAnsi"/>
                <w:sz w:val="20"/>
              </w:rPr>
            </w:pPr>
            <w:proofErr w:type="spellStart"/>
            <w:r w:rsidRPr="007B01B6">
              <w:rPr>
                <w:rFonts w:cstheme="minorHAnsi"/>
                <w:sz w:val="20"/>
              </w:rPr>
              <w:t>Downtilt</w:t>
            </w:r>
            <w:proofErr w:type="spellEnd"/>
            <w:r w:rsidRPr="007B01B6">
              <w:rPr>
                <w:rFonts w:cstheme="minorHAnsi"/>
                <w:sz w:val="20"/>
              </w:rPr>
              <w:t xml:space="preserve"> (°)</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5.4.4</w:t>
            </w:r>
          </w:p>
        </w:tc>
        <w:tc>
          <w:tcPr>
            <w:tcW w:w="769" w:type="pct"/>
          </w:tcPr>
          <w:p w:rsidR="00A65CA6" w:rsidRPr="007B01B6" w:rsidRDefault="00A65CA6" w:rsidP="005456A5">
            <w:pPr>
              <w:jc w:val="center"/>
              <w:rPr>
                <w:rFonts w:cstheme="minorHAnsi"/>
                <w:sz w:val="20"/>
              </w:rPr>
            </w:pPr>
            <w:r w:rsidRPr="007B01B6">
              <w:rPr>
                <w:rFonts w:cstheme="minorHAnsi"/>
                <w:sz w:val="20"/>
              </w:rPr>
              <w:t>Relative</w:t>
            </w:r>
            <w:r w:rsidR="005456A5">
              <w:rPr>
                <w:rFonts w:cstheme="minorHAnsi"/>
                <w:sz w:val="20"/>
              </w:rPr>
              <w:t xml:space="preserve"> </w:t>
            </w:r>
            <w:r w:rsidRPr="007B01B6">
              <w:rPr>
                <w:rFonts w:cstheme="minorHAnsi"/>
                <w:sz w:val="20"/>
              </w:rPr>
              <w:t>side-lobe level (dB)</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5.5</w:t>
            </w:r>
          </w:p>
        </w:tc>
        <w:tc>
          <w:tcPr>
            <w:tcW w:w="769" w:type="pct"/>
          </w:tcPr>
          <w:p w:rsidR="00A65CA6" w:rsidRPr="007B01B6" w:rsidRDefault="00A65CA6" w:rsidP="00A65CA6">
            <w:pPr>
              <w:jc w:val="center"/>
              <w:rPr>
                <w:rFonts w:cstheme="minorHAnsi"/>
                <w:sz w:val="20"/>
              </w:rPr>
            </w:pPr>
            <w:r w:rsidRPr="007B01B6">
              <w:rPr>
                <w:rFonts w:cstheme="minorHAnsi"/>
                <w:sz w:val="20"/>
              </w:rPr>
              <w:t>Polarization discrimination (dB)</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5.6</w:t>
            </w:r>
          </w:p>
        </w:tc>
        <w:tc>
          <w:tcPr>
            <w:tcW w:w="769" w:type="pct"/>
          </w:tcPr>
          <w:p w:rsidR="00A65CA6" w:rsidRPr="007B01B6" w:rsidRDefault="00A65CA6" w:rsidP="00A65CA6">
            <w:pPr>
              <w:jc w:val="center"/>
              <w:rPr>
                <w:rFonts w:cstheme="minorHAnsi"/>
                <w:sz w:val="20"/>
              </w:rPr>
            </w:pPr>
            <w:r w:rsidRPr="007B01B6">
              <w:rPr>
                <w:rFonts w:cstheme="minorHAnsi"/>
                <w:sz w:val="20"/>
              </w:rPr>
              <w:t>Feeder loss (dB)</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A65CA6">
        <w:tc>
          <w:tcPr>
            <w:tcW w:w="5000" w:type="pct"/>
            <w:gridSpan w:val="11"/>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6</w:t>
            </w:r>
          </w:p>
        </w:tc>
        <w:tc>
          <w:tcPr>
            <w:tcW w:w="769" w:type="pct"/>
          </w:tcPr>
          <w:p w:rsidR="00A65CA6" w:rsidRPr="007B01B6" w:rsidRDefault="00A65CA6" w:rsidP="00A65CA6">
            <w:pPr>
              <w:jc w:val="center"/>
              <w:rPr>
                <w:rFonts w:cstheme="minorHAnsi"/>
                <w:b/>
                <w:sz w:val="20"/>
              </w:rPr>
            </w:pPr>
            <w:r w:rsidRPr="007B01B6">
              <w:rPr>
                <w:rFonts w:cstheme="minorHAnsi"/>
                <w:b/>
                <w:sz w:val="20"/>
              </w:rPr>
              <w:t xml:space="preserve">Operational </w:t>
            </w:r>
            <w:r w:rsidR="005456A5" w:rsidRPr="007B01B6">
              <w:rPr>
                <w:rFonts w:cstheme="minorHAnsi"/>
                <w:b/>
                <w:sz w:val="20"/>
              </w:rPr>
              <w:t>f</w:t>
            </w:r>
            <w:r w:rsidRPr="007B01B6">
              <w:rPr>
                <w:rFonts w:cstheme="minorHAnsi"/>
                <w:b/>
                <w:sz w:val="20"/>
              </w:rPr>
              <w:t>actors</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6.1</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Frequency </w:t>
            </w:r>
            <w:r w:rsidR="005456A5" w:rsidRPr="007B01B6">
              <w:rPr>
                <w:rFonts w:cstheme="minorHAnsi"/>
                <w:sz w:val="20"/>
              </w:rPr>
              <w:t>r</w:t>
            </w:r>
            <w:r w:rsidRPr="007B01B6">
              <w:rPr>
                <w:rFonts w:cstheme="minorHAnsi"/>
                <w:sz w:val="20"/>
              </w:rPr>
              <w:t xml:space="preserve">euse </w:t>
            </w:r>
            <w:r w:rsidR="005456A5" w:rsidRPr="007B01B6">
              <w:rPr>
                <w:rFonts w:cstheme="minorHAnsi"/>
                <w:sz w:val="20"/>
              </w:rPr>
              <w:t>f</w:t>
            </w:r>
            <w:r w:rsidRPr="007B01B6">
              <w:rPr>
                <w:rFonts w:cstheme="minorHAnsi"/>
                <w:sz w:val="20"/>
              </w:rPr>
              <w:t>actor</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6.2</w:t>
            </w:r>
          </w:p>
        </w:tc>
        <w:tc>
          <w:tcPr>
            <w:tcW w:w="769" w:type="pct"/>
          </w:tcPr>
          <w:p w:rsidR="00A65CA6" w:rsidRPr="007B01B6" w:rsidRDefault="00A65CA6" w:rsidP="00A65CA6">
            <w:pPr>
              <w:jc w:val="center"/>
              <w:rPr>
                <w:rFonts w:cstheme="minorHAnsi"/>
                <w:sz w:val="20"/>
              </w:rPr>
            </w:pPr>
            <w:r w:rsidRPr="007B01B6">
              <w:rPr>
                <w:rFonts w:cstheme="minorHAnsi"/>
                <w:sz w:val="20"/>
              </w:rPr>
              <w:t>Equipment density (number.km²)</w:t>
            </w:r>
          </w:p>
        </w:tc>
        <w:tc>
          <w:tcPr>
            <w:tcW w:w="1022" w:type="pct"/>
            <w:gridSpan w:val="3"/>
          </w:tcPr>
          <w:p w:rsidR="00A65CA6" w:rsidRPr="007B01B6" w:rsidRDefault="00A65CA6" w:rsidP="00A65CA6">
            <w:pP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6.3</w:t>
            </w:r>
          </w:p>
        </w:tc>
        <w:tc>
          <w:tcPr>
            <w:tcW w:w="769" w:type="pct"/>
          </w:tcPr>
          <w:p w:rsidR="00A65CA6" w:rsidRPr="007B01B6" w:rsidRDefault="00A65CA6" w:rsidP="00A65CA6">
            <w:pPr>
              <w:jc w:val="center"/>
              <w:rPr>
                <w:rFonts w:cstheme="minorHAnsi"/>
                <w:sz w:val="20"/>
              </w:rPr>
            </w:pPr>
            <w:r w:rsidRPr="007B01B6">
              <w:rPr>
                <w:rFonts w:cstheme="minorHAnsi"/>
                <w:sz w:val="20"/>
              </w:rPr>
              <w:t xml:space="preserve">Equipment density (number/km²) operating </w:t>
            </w:r>
            <w:r w:rsidR="005456A5">
              <w:rPr>
                <w:rFonts w:cstheme="minorHAnsi"/>
                <w:sz w:val="20"/>
              </w:rPr>
              <w:br/>
            </w:r>
            <w:r w:rsidRPr="007B01B6">
              <w:rPr>
                <w:rFonts w:cstheme="minorHAnsi"/>
                <w:sz w:val="20"/>
              </w:rPr>
              <w:t xml:space="preserve">co-frequency </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6.4</w:t>
            </w:r>
          </w:p>
        </w:tc>
        <w:tc>
          <w:tcPr>
            <w:tcW w:w="769" w:type="pct"/>
          </w:tcPr>
          <w:p w:rsidR="00A65CA6" w:rsidRPr="007B01B6" w:rsidRDefault="00A65CA6" w:rsidP="00A65CA6">
            <w:pPr>
              <w:jc w:val="center"/>
              <w:rPr>
                <w:rFonts w:cstheme="minorHAnsi"/>
                <w:sz w:val="20"/>
              </w:rPr>
            </w:pPr>
            <w:r w:rsidRPr="007B01B6">
              <w:rPr>
                <w:rFonts w:cstheme="minorHAnsi"/>
                <w:sz w:val="20"/>
              </w:rPr>
              <w:t>Capacity criteria</w:t>
            </w:r>
          </w:p>
        </w:tc>
        <w:tc>
          <w:tcPr>
            <w:tcW w:w="1022" w:type="pct"/>
            <w:gridSpan w:val="3"/>
          </w:tcPr>
          <w:p w:rsidR="00A65CA6" w:rsidRPr="007B01B6" w:rsidRDefault="00A65CA6" w:rsidP="00A65CA6">
            <w:pP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r w:rsidR="00A65CA6" w:rsidRPr="007B01B6" w:rsidTr="00E06013">
        <w:tc>
          <w:tcPr>
            <w:tcW w:w="313" w:type="pct"/>
          </w:tcPr>
          <w:p w:rsidR="00A65CA6" w:rsidRPr="007B01B6" w:rsidRDefault="00A65CA6" w:rsidP="00A65CA6">
            <w:pPr>
              <w:jc w:val="center"/>
              <w:rPr>
                <w:rFonts w:cstheme="minorHAnsi"/>
                <w:sz w:val="20"/>
              </w:rPr>
            </w:pPr>
            <w:r w:rsidRPr="007B01B6">
              <w:rPr>
                <w:rFonts w:cstheme="minorHAnsi"/>
                <w:sz w:val="20"/>
              </w:rPr>
              <w:t>6.5</w:t>
            </w:r>
          </w:p>
        </w:tc>
        <w:tc>
          <w:tcPr>
            <w:tcW w:w="769" w:type="pct"/>
          </w:tcPr>
          <w:p w:rsidR="00A65CA6" w:rsidRPr="007B01B6" w:rsidRDefault="00A65CA6" w:rsidP="00A65CA6">
            <w:pPr>
              <w:jc w:val="center"/>
              <w:rPr>
                <w:rFonts w:cstheme="minorHAnsi"/>
                <w:sz w:val="20"/>
              </w:rPr>
            </w:pPr>
            <w:r w:rsidRPr="007B01B6">
              <w:rPr>
                <w:rFonts w:cstheme="minorHAnsi"/>
                <w:sz w:val="20"/>
              </w:rPr>
              <w:t>Coverage radius (km)</w:t>
            </w:r>
          </w:p>
        </w:tc>
        <w:tc>
          <w:tcPr>
            <w:tcW w:w="495" w:type="pct"/>
          </w:tcPr>
          <w:p w:rsidR="00A65CA6" w:rsidRPr="007B01B6" w:rsidRDefault="00A65CA6" w:rsidP="00A65CA6">
            <w:pPr>
              <w:jc w:val="center"/>
              <w:rPr>
                <w:rFonts w:cstheme="minorHAnsi"/>
                <w:sz w:val="20"/>
              </w:rPr>
            </w:pPr>
          </w:p>
        </w:tc>
        <w:tc>
          <w:tcPr>
            <w:tcW w:w="527" w:type="pct"/>
            <w:gridSpan w:val="2"/>
          </w:tcPr>
          <w:p w:rsidR="00A65CA6" w:rsidRPr="007B01B6" w:rsidRDefault="00A65CA6" w:rsidP="00A65CA6">
            <w:pPr>
              <w:jc w:val="center"/>
              <w:rPr>
                <w:rFonts w:cstheme="minorHAnsi"/>
                <w:sz w:val="20"/>
              </w:rPr>
            </w:pPr>
          </w:p>
        </w:tc>
        <w:tc>
          <w:tcPr>
            <w:tcW w:w="469" w:type="pct"/>
          </w:tcPr>
          <w:p w:rsidR="00A65CA6" w:rsidRPr="007B01B6" w:rsidRDefault="00A65CA6" w:rsidP="00A65CA6">
            <w:pPr>
              <w:jc w:val="center"/>
              <w:rPr>
                <w:rFonts w:cstheme="minorHAnsi"/>
                <w:sz w:val="20"/>
              </w:rPr>
            </w:pPr>
          </w:p>
        </w:tc>
        <w:tc>
          <w:tcPr>
            <w:tcW w:w="523" w:type="pct"/>
          </w:tcPr>
          <w:p w:rsidR="00A65CA6" w:rsidRPr="007B01B6" w:rsidRDefault="00A65CA6" w:rsidP="00A65CA6">
            <w:pPr>
              <w:jc w:val="center"/>
              <w:rPr>
                <w:rFonts w:cstheme="minorHAnsi"/>
                <w:sz w:val="20"/>
              </w:rPr>
            </w:pPr>
          </w:p>
        </w:tc>
        <w:tc>
          <w:tcPr>
            <w:tcW w:w="455" w:type="pct"/>
          </w:tcPr>
          <w:p w:rsidR="00A65CA6" w:rsidRPr="007B01B6" w:rsidRDefault="00A65CA6" w:rsidP="00A65CA6">
            <w:pPr>
              <w:jc w:val="center"/>
              <w:rPr>
                <w:rFonts w:cstheme="minorHAnsi"/>
                <w:sz w:val="20"/>
              </w:rPr>
            </w:pPr>
          </w:p>
        </w:tc>
        <w:tc>
          <w:tcPr>
            <w:tcW w:w="496" w:type="pct"/>
          </w:tcPr>
          <w:p w:rsidR="00A65CA6" w:rsidRPr="007B01B6" w:rsidRDefault="00A65CA6" w:rsidP="00A65CA6">
            <w:pPr>
              <w:jc w:val="center"/>
              <w:rPr>
                <w:rFonts w:cstheme="minorHAnsi"/>
                <w:sz w:val="20"/>
              </w:rPr>
            </w:pPr>
          </w:p>
        </w:tc>
        <w:tc>
          <w:tcPr>
            <w:tcW w:w="462" w:type="pct"/>
          </w:tcPr>
          <w:p w:rsidR="00A65CA6" w:rsidRPr="007B01B6" w:rsidRDefault="00A65CA6" w:rsidP="00A65CA6">
            <w:pPr>
              <w:jc w:val="center"/>
              <w:rPr>
                <w:rFonts w:cstheme="minorHAnsi"/>
                <w:sz w:val="20"/>
              </w:rPr>
            </w:pPr>
          </w:p>
        </w:tc>
        <w:tc>
          <w:tcPr>
            <w:tcW w:w="491" w:type="pct"/>
          </w:tcPr>
          <w:p w:rsidR="00A65CA6" w:rsidRPr="007B01B6" w:rsidRDefault="00A65CA6" w:rsidP="00A65CA6">
            <w:pPr>
              <w:jc w:val="center"/>
              <w:rPr>
                <w:rFonts w:cstheme="minorHAnsi"/>
                <w:sz w:val="20"/>
              </w:rPr>
            </w:pPr>
          </w:p>
        </w:tc>
      </w:tr>
    </w:tbl>
    <w:p w:rsidR="00A65CA6" w:rsidRDefault="00A65CA6" w:rsidP="00A65CA6">
      <w:pPr>
        <w:rPr>
          <w:rFonts w:cstheme="minorHAnsi"/>
        </w:rPr>
      </w:pPr>
    </w:p>
    <w:p w:rsidR="005456A5" w:rsidRDefault="005456A5" w:rsidP="00A65CA6">
      <w:pPr>
        <w:rPr>
          <w:rFonts w:cstheme="minorHAnsi"/>
        </w:rPr>
      </w:pPr>
    </w:p>
    <w:p w:rsidR="005456A5" w:rsidRPr="007B01B6" w:rsidRDefault="005456A5" w:rsidP="00A65CA6">
      <w:pPr>
        <w:rPr>
          <w:rFonts w:cstheme="minorHAnsi"/>
        </w:rPr>
      </w:pPr>
    </w:p>
    <w:p w:rsidR="000069D4" w:rsidRPr="005456A5" w:rsidRDefault="00A65CA6" w:rsidP="005456A5">
      <w:pPr>
        <w:jc w:val="center"/>
        <w:rPr>
          <w:b/>
          <w:sz w:val="28"/>
        </w:rPr>
      </w:pPr>
      <w:r>
        <w:rPr>
          <w:b/>
        </w:rPr>
        <w:t>______________</w:t>
      </w:r>
    </w:p>
    <w:sectPr w:rsidR="000069D4" w:rsidRPr="005456A5" w:rsidSect="00D02712">
      <w:headerReference w:type="default" r:id="rId17"/>
      <w:footerReference w:type="default" r:id="rId18"/>
      <w:headerReference w:type="first" r:id="rId19"/>
      <w:foot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013" w:rsidRDefault="00E06013">
      <w:r>
        <w:separator/>
      </w:r>
    </w:p>
  </w:endnote>
  <w:endnote w:type="continuationSeparator" w:id="0">
    <w:p w:rsidR="00E06013" w:rsidRDefault="00E06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013" w:rsidRPr="00923F24" w:rsidRDefault="0007610A" w:rsidP="00923F24">
    <w:pPr>
      <w:pStyle w:val="Footer"/>
    </w:pPr>
    <w:r>
      <w:fldChar w:fldCharType="begin"/>
    </w:r>
    <w:r>
      <w:instrText xml:space="preserve"> FILENAME  \p  \* MERGEFORMAT </w:instrText>
    </w:r>
    <w:r>
      <w:fldChar w:fldCharType="separate"/>
    </w:r>
    <w:r w:rsidR="003B4AE1">
      <w:t>M:\BRSGD\TEXT2012\SG05\WP5D\000\074e.docx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24" w:rsidRDefault="0007610A">
    <w:pPr>
      <w:pStyle w:val="Footer"/>
    </w:pPr>
    <w:r>
      <w:fldChar w:fldCharType="begin"/>
    </w:r>
    <w:r>
      <w:instrText xml:space="preserve"> FILENAME  \p  \* MERGEFORMAT </w:instrText>
    </w:r>
    <w:r>
      <w:fldChar w:fldCharType="separate"/>
    </w:r>
    <w:r w:rsidR="003B4AE1">
      <w:t>M:\BRSGD\TEXT2012\SG05\WP5D\000\074e.docx</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013" w:rsidRPr="00923F24" w:rsidRDefault="0007610A" w:rsidP="00923F24">
    <w:pPr>
      <w:pStyle w:val="Footer"/>
    </w:pPr>
    <w:r>
      <w:fldChar w:fldCharType="begin"/>
    </w:r>
    <w:r>
      <w:instrText xml:space="preserve"> FILENAME  \p  \* MERGEFORMAT </w:instrText>
    </w:r>
    <w:r>
      <w:fldChar w:fldCharType="separate"/>
    </w:r>
    <w:r w:rsidR="003B4AE1">
      <w:t>M:\BRSGD\TEXT2012\SG05\WP5D\000\074e.docx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013" w:rsidRPr="00923F24" w:rsidRDefault="0007610A" w:rsidP="00923F24">
    <w:pPr>
      <w:pStyle w:val="Footer"/>
    </w:pPr>
    <w:r>
      <w:fldChar w:fldCharType="begin"/>
    </w:r>
    <w:r>
      <w:instrText xml:space="preserve"> FILENAME  \p  \* MERGEFORMAT </w:instrText>
    </w:r>
    <w:r>
      <w:fldChar w:fldCharType="separate"/>
    </w:r>
    <w:r w:rsidR="003B4AE1">
      <w:t>M:\BRSGD\TEXT2012\SG05\WP5D\000\074e.docx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013" w:rsidRDefault="00E06013">
      <w:r>
        <w:t>____________________</w:t>
      </w:r>
    </w:p>
  </w:footnote>
  <w:footnote w:type="continuationSeparator" w:id="0">
    <w:p w:rsidR="00E06013" w:rsidRDefault="00E06013">
      <w:r>
        <w:continuationSeparator/>
      </w:r>
    </w:p>
  </w:footnote>
  <w:footnote w:id="1">
    <w:p w:rsidR="00E06013" w:rsidRPr="00A377F0" w:rsidRDefault="00E06013" w:rsidP="00A65CA6">
      <w:pPr>
        <w:pStyle w:val="FootnoteText"/>
        <w:tabs>
          <w:tab w:val="clear" w:pos="255"/>
          <w:tab w:val="left" w:pos="284"/>
        </w:tabs>
      </w:pPr>
      <w:r>
        <w:rPr>
          <w:rStyle w:val="FootnoteReference"/>
        </w:rPr>
        <w:t>(1)</w:t>
      </w:r>
      <w:r>
        <w:rPr>
          <w:rStyle w:val="FootnoteReference"/>
        </w:rPr>
        <w:tab/>
      </w:r>
      <w:r w:rsidRPr="00D07E90">
        <w:t>A concerned ITU-R group may be either a contributing group on a specific item (indicated in bold), or an interested group</w:t>
      </w:r>
      <w:r>
        <w:t xml:space="preserve"> </w:t>
      </w:r>
      <w:r w:rsidRPr="00D07E90">
        <w:t xml:space="preserve">(indicated between round brackets) that will </w:t>
      </w:r>
      <w:r w:rsidRPr="0015385C">
        <w:t>follow</w:t>
      </w:r>
      <w:r w:rsidRPr="00D07E90">
        <w:t xml:space="preserve"> the work on a specific issue and act as appropriate.</w:t>
      </w:r>
    </w:p>
  </w:footnote>
  <w:footnote w:id="2">
    <w:p w:rsidR="00E06013" w:rsidRPr="002A2FEF" w:rsidRDefault="00E06013" w:rsidP="00A65CA6">
      <w:pPr>
        <w:pStyle w:val="FootnoteText"/>
        <w:tabs>
          <w:tab w:val="clear" w:pos="255"/>
          <w:tab w:val="left" w:pos="284"/>
        </w:tabs>
      </w:pPr>
      <w:r>
        <w:rPr>
          <w:rStyle w:val="FootnoteReference"/>
        </w:rPr>
        <w:t>(2)</w:t>
      </w:r>
      <w:r>
        <w:tab/>
      </w:r>
      <w:r>
        <w:rPr>
          <w:lang w:val="en-US"/>
        </w:rPr>
        <w:t xml:space="preserve">See the </w:t>
      </w:r>
      <w:r>
        <w:t xml:space="preserve">CPM15-1 Decision on the establishment and </w:t>
      </w:r>
      <w:r w:rsidRPr="00B102BA">
        <w:t>Terms of Reference</w:t>
      </w:r>
      <w:r>
        <w:t xml:space="preserve"> of Joint Task Group </w:t>
      </w:r>
      <w:r w:rsidRPr="00B102BA">
        <w:t>4-5-6-7</w:t>
      </w:r>
      <w:r>
        <w:t xml:space="preserve"> (Annex 10 to this Administrative Circular).</w:t>
      </w:r>
    </w:p>
  </w:footnote>
  <w:footnote w:id="3">
    <w:p w:rsidR="00E06013" w:rsidRPr="00E65DF3" w:rsidRDefault="00E06013" w:rsidP="00A65CA6">
      <w:pPr>
        <w:pStyle w:val="FootnoteText"/>
        <w:rPr>
          <w:lang w:val="en-US"/>
        </w:rPr>
      </w:pPr>
      <w:r>
        <w:rPr>
          <w:rStyle w:val="FootnoteReference"/>
        </w:rPr>
        <w:footnoteRef/>
      </w:r>
      <w:r>
        <w:tab/>
      </w:r>
      <w:r>
        <w:rPr>
          <w:lang w:val="en-US"/>
        </w:rPr>
        <w:t>A table should be appropriately created for specific band or frequency ranges (e.g. “below 1 GHz”).  Rows may be added for other appropriate characteristics. Report ITU-R M.2039 may be consulted for examples/guidance.</w:t>
      </w:r>
    </w:p>
  </w:footnote>
  <w:footnote w:id="4">
    <w:p w:rsidR="00E06013" w:rsidRPr="000004A9" w:rsidRDefault="00E06013" w:rsidP="00A65CA6">
      <w:pPr>
        <w:pStyle w:val="FootnoteText"/>
        <w:rPr>
          <w:lang w:val="en-US"/>
        </w:rPr>
      </w:pPr>
      <w:r w:rsidRPr="00F55CF5">
        <w:rPr>
          <w:rStyle w:val="FootnoteReference"/>
        </w:rPr>
        <w:footnoteRef/>
      </w:r>
      <w:r w:rsidRPr="000004A9">
        <w:rPr>
          <w:lang w:val="en-US"/>
        </w:rPr>
        <w:tab/>
        <w:t>Developed by 3GPP as LTE Release 10 and Beyond (</w:t>
      </w:r>
      <w:r w:rsidRPr="000004A9">
        <w:rPr>
          <w:i/>
          <w:lang w:val="en-US"/>
        </w:rPr>
        <w:t>LTE-Advanced</w:t>
      </w:r>
      <w:r w:rsidRPr="000004A9">
        <w:rPr>
          <w:lang w:val="en-US"/>
        </w:rPr>
        <w:t>).</w:t>
      </w:r>
    </w:p>
  </w:footnote>
  <w:footnote w:id="5">
    <w:p w:rsidR="00E06013" w:rsidRPr="000004A9" w:rsidRDefault="00E06013" w:rsidP="00A65CA6">
      <w:pPr>
        <w:pStyle w:val="FootnoteText"/>
        <w:rPr>
          <w:lang w:val="en-US"/>
        </w:rPr>
      </w:pPr>
      <w:r w:rsidRPr="00F55CF5">
        <w:rPr>
          <w:rStyle w:val="FootnoteReference"/>
        </w:rPr>
        <w:footnoteRef/>
      </w:r>
      <w:r w:rsidRPr="000004A9">
        <w:rPr>
          <w:lang w:val="en-US"/>
        </w:rPr>
        <w:tab/>
        <w:t xml:space="preserve">Developed by IEEE as the </w:t>
      </w:r>
      <w:proofErr w:type="spellStart"/>
      <w:r w:rsidRPr="000004A9">
        <w:rPr>
          <w:lang w:val="en-US"/>
        </w:rPr>
        <w:t>WirelessMAN</w:t>
      </w:r>
      <w:proofErr w:type="spellEnd"/>
      <w:r w:rsidRPr="000004A9">
        <w:rPr>
          <w:lang w:val="en-US"/>
        </w:rPr>
        <w:t>-Advanced specification incorporated in IEEE Std 802.16 beginning with approval of IEEE Std 802.16m.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567661"/>
      <w:docPartObj>
        <w:docPartGallery w:val="Page Numbers (Top of Page)"/>
        <w:docPartUnique/>
      </w:docPartObj>
    </w:sdtPr>
    <w:sdtEndPr>
      <w:rPr>
        <w:noProof/>
      </w:rPr>
    </w:sdtEndPr>
    <w:sdtContent>
      <w:p w:rsidR="00E06013" w:rsidRDefault="00923F24">
        <w:pPr>
          <w:pStyle w:val="Header"/>
        </w:pPr>
        <w:r>
          <w:t xml:space="preserve">- </w:t>
        </w:r>
        <w:r w:rsidR="00E06013">
          <w:fldChar w:fldCharType="begin"/>
        </w:r>
        <w:r w:rsidR="00E06013">
          <w:instrText xml:space="preserve"> PAGE   \* MERGEFORMAT </w:instrText>
        </w:r>
        <w:r w:rsidR="00E06013">
          <w:fldChar w:fldCharType="separate"/>
        </w:r>
        <w:r w:rsidR="0007610A">
          <w:rPr>
            <w:noProof/>
          </w:rPr>
          <w:t>9</w:t>
        </w:r>
        <w:r w:rsidR="00E06013">
          <w:rPr>
            <w:noProof/>
          </w:rPr>
          <w:fldChar w:fldCharType="end"/>
        </w:r>
        <w:r>
          <w:rPr>
            <w:noProof/>
          </w:rPr>
          <w:t xml:space="preserve"> -</w:t>
        </w:r>
      </w:p>
    </w:sdtContent>
  </w:sdt>
  <w:p w:rsidR="00E06013" w:rsidRDefault="00923F24">
    <w:pPr>
      <w:pStyle w:val="Header"/>
    </w:pPr>
    <w:r>
      <w:t>5D/74-E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013" w:rsidRDefault="00E06013"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07610A">
      <w:rPr>
        <w:rStyle w:val="PageNumber"/>
        <w:noProof/>
      </w:rPr>
      <w:t>11</w:t>
    </w:r>
    <w:r>
      <w:rPr>
        <w:rStyle w:val="PageNumber"/>
      </w:rPr>
      <w:fldChar w:fldCharType="end"/>
    </w:r>
    <w:r>
      <w:rPr>
        <w:rStyle w:val="PageNumber"/>
      </w:rPr>
      <w:t xml:space="preserve"> -</w:t>
    </w:r>
  </w:p>
  <w:p w:rsidR="00E06013" w:rsidRDefault="00E06013">
    <w:pPr>
      <w:pStyle w:val="Header"/>
      <w:rPr>
        <w:lang w:val="en-US"/>
      </w:rPr>
    </w:pPr>
    <w:r>
      <w:rPr>
        <w:lang w:val="en-US"/>
      </w:rPr>
      <w:t>5D/74-E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F24" w:rsidRDefault="00923F24">
    <w:pPr>
      <w:pStyle w:val="Header"/>
    </w:pPr>
    <w:r>
      <w:t xml:space="preserve">- </w:t>
    </w:r>
    <w:sdt>
      <w:sdtPr>
        <w:id w:val="-136282677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7610A">
          <w:rPr>
            <w:noProof/>
          </w:rPr>
          <w:t>10</w:t>
        </w:r>
        <w:r>
          <w:rPr>
            <w:noProof/>
          </w:rPr>
          <w:fldChar w:fldCharType="end"/>
        </w:r>
        <w:r>
          <w:rPr>
            <w:noProof/>
          </w:rPr>
          <w:t xml:space="preserve"> -</w:t>
        </w:r>
      </w:sdtContent>
    </w:sdt>
  </w:p>
  <w:p w:rsidR="00923F24" w:rsidRDefault="00923F24">
    <w:pPr>
      <w:pStyle w:val="Header"/>
    </w:pPr>
    <w:r>
      <w:t>5D/74-E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C1F65"/>
    <w:multiLevelType w:val="hybridMultilevel"/>
    <w:tmpl w:val="2E5C0FF6"/>
    <w:lvl w:ilvl="0" w:tplc="A044CCAA">
      <w:start w:val="1"/>
      <w:numFmt w:val="bullet"/>
      <w:lvlText w:val="•"/>
      <w:lvlJc w:val="left"/>
      <w:pPr>
        <w:tabs>
          <w:tab w:val="num" w:pos="720"/>
        </w:tabs>
        <w:ind w:left="720" w:hanging="360"/>
      </w:pPr>
      <w:rPr>
        <w:rFonts w:ascii="Arial" w:hAnsi="Arial" w:hint="default"/>
      </w:rPr>
    </w:lvl>
    <w:lvl w:ilvl="1" w:tplc="398AE96E">
      <w:start w:val="825"/>
      <w:numFmt w:val="bullet"/>
      <w:lvlText w:val="–"/>
      <w:lvlJc w:val="left"/>
      <w:pPr>
        <w:tabs>
          <w:tab w:val="num" w:pos="1440"/>
        </w:tabs>
        <w:ind w:left="1440" w:hanging="360"/>
      </w:pPr>
      <w:rPr>
        <w:rFonts w:ascii="Arial" w:hAnsi="Arial" w:hint="default"/>
      </w:rPr>
    </w:lvl>
    <w:lvl w:ilvl="2" w:tplc="9ED4B9D6">
      <w:start w:val="1"/>
      <w:numFmt w:val="bullet"/>
      <w:lvlText w:val="•"/>
      <w:lvlJc w:val="left"/>
      <w:pPr>
        <w:tabs>
          <w:tab w:val="num" w:pos="2160"/>
        </w:tabs>
        <w:ind w:left="2160" w:hanging="360"/>
      </w:pPr>
      <w:rPr>
        <w:rFonts w:ascii="Arial" w:hAnsi="Arial" w:hint="default"/>
      </w:rPr>
    </w:lvl>
    <w:lvl w:ilvl="3" w:tplc="B65A1718" w:tentative="1">
      <w:start w:val="1"/>
      <w:numFmt w:val="bullet"/>
      <w:lvlText w:val="•"/>
      <w:lvlJc w:val="left"/>
      <w:pPr>
        <w:tabs>
          <w:tab w:val="num" w:pos="2880"/>
        </w:tabs>
        <w:ind w:left="2880" w:hanging="360"/>
      </w:pPr>
      <w:rPr>
        <w:rFonts w:ascii="Arial" w:hAnsi="Arial" w:hint="default"/>
      </w:rPr>
    </w:lvl>
    <w:lvl w:ilvl="4" w:tplc="583A1D8C" w:tentative="1">
      <w:start w:val="1"/>
      <w:numFmt w:val="bullet"/>
      <w:lvlText w:val="•"/>
      <w:lvlJc w:val="left"/>
      <w:pPr>
        <w:tabs>
          <w:tab w:val="num" w:pos="3600"/>
        </w:tabs>
        <w:ind w:left="3600" w:hanging="360"/>
      </w:pPr>
      <w:rPr>
        <w:rFonts w:ascii="Arial" w:hAnsi="Arial" w:hint="default"/>
      </w:rPr>
    </w:lvl>
    <w:lvl w:ilvl="5" w:tplc="C7302334" w:tentative="1">
      <w:start w:val="1"/>
      <w:numFmt w:val="bullet"/>
      <w:lvlText w:val="•"/>
      <w:lvlJc w:val="left"/>
      <w:pPr>
        <w:tabs>
          <w:tab w:val="num" w:pos="4320"/>
        </w:tabs>
        <w:ind w:left="4320" w:hanging="360"/>
      </w:pPr>
      <w:rPr>
        <w:rFonts w:ascii="Arial" w:hAnsi="Arial" w:hint="default"/>
      </w:rPr>
    </w:lvl>
    <w:lvl w:ilvl="6" w:tplc="0BDE983E" w:tentative="1">
      <w:start w:val="1"/>
      <w:numFmt w:val="bullet"/>
      <w:lvlText w:val="•"/>
      <w:lvlJc w:val="left"/>
      <w:pPr>
        <w:tabs>
          <w:tab w:val="num" w:pos="5040"/>
        </w:tabs>
        <w:ind w:left="5040" w:hanging="360"/>
      </w:pPr>
      <w:rPr>
        <w:rFonts w:ascii="Arial" w:hAnsi="Arial" w:hint="default"/>
      </w:rPr>
    </w:lvl>
    <w:lvl w:ilvl="7" w:tplc="2CF04AC8" w:tentative="1">
      <w:start w:val="1"/>
      <w:numFmt w:val="bullet"/>
      <w:lvlText w:val="•"/>
      <w:lvlJc w:val="left"/>
      <w:pPr>
        <w:tabs>
          <w:tab w:val="num" w:pos="5760"/>
        </w:tabs>
        <w:ind w:left="5760" w:hanging="360"/>
      </w:pPr>
      <w:rPr>
        <w:rFonts w:ascii="Arial" w:hAnsi="Arial" w:hint="default"/>
      </w:rPr>
    </w:lvl>
    <w:lvl w:ilvl="8" w:tplc="5334505C" w:tentative="1">
      <w:start w:val="1"/>
      <w:numFmt w:val="bullet"/>
      <w:lvlText w:val="•"/>
      <w:lvlJc w:val="left"/>
      <w:pPr>
        <w:tabs>
          <w:tab w:val="num" w:pos="6480"/>
        </w:tabs>
        <w:ind w:left="6480" w:hanging="360"/>
      </w:pPr>
      <w:rPr>
        <w:rFonts w:ascii="Arial" w:hAnsi="Arial" w:hint="default"/>
      </w:rPr>
    </w:lvl>
  </w:abstractNum>
  <w:abstractNum w:abstractNumId="1">
    <w:nsid w:val="1B751A88"/>
    <w:multiLevelType w:val="hybridMultilevel"/>
    <w:tmpl w:val="8384D5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962FA7"/>
    <w:multiLevelType w:val="hybridMultilevel"/>
    <w:tmpl w:val="B9824F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BFA6B7F"/>
    <w:multiLevelType w:val="hybridMultilevel"/>
    <w:tmpl w:val="522CF656"/>
    <w:lvl w:ilvl="0" w:tplc="398AE96E">
      <w:start w:val="825"/>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CE95478"/>
    <w:multiLevelType w:val="hybridMultilevel"/>
    <w:tmpl w:val="A09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9B6191"/>
    <w:multiLevelType w:val="hybridMultilevel"/>
    <w:tmpl w:val="1C1A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CB66D8"/>
    <w:multiLevelType w:val="hybridMultilevel"/>
    <w:tmpl w:val="E3CC8594"/>
    <w:lvl w:ilvl="0" w:tplc="398AE96E">
      <w:start w:val="825"/>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1EF"/>
    <w:rsid w:val="000069D4"/>
    <w:rsid w:val="000174AD"/>
    <w:rsid w:val="0007610A"/>
    <w:rsid w:val="000A7D55"/>
    <w:rsid w:val="000C2E8E"/>
    <w:rsid w:val="000E0E7C"/>
    <w:rsid w:val="000F1B4B"/>
    <w:rsid w:val="0012744F"/>
    <w:rsid w:val="00156F66"/>
    <w:rsid w:val="00182528"/>
    <w:rsid w:val="0018500B"/>
    <w:rsid w:val="00196A19"/>
    <w:rsid w:val="001D02DA"/>
    <w:rsid w:val="00202DC1"/>
    <w:rsid w:val="002116EE"/>
    <w:rsid w:val="002309D8"/>
    <w:rsid w:val="002A7FE2"/>
    <w:rsid w:val="002E1B4F"/>
    <w:rsid w:val="002F2E67"/>
    <w:rsid w:val="00315546"/>
    <w:rsid w:val="00330567"/>
    <w:rsid w:val="00386A9D"/>
    <w:rsid w:val="00391081"/>
    <w:rsid w:val="003B2789"/>
    <w:rsid w:val="003B4AE1"/>
    <w:rsid w:val="003C13CE"/>
    <w:rsid w:val="003E2518"/>
    <w:rsid w:val="004B1EF7"/>
    <w:rsid w:val="004B3FAD"/>
    <w:rsid w:val="00501DCA"/>
    <w:rsid w:val="00513A47"/>
    <w:rsid w:val="005408DF"/>
    <w:rsid w:val="005456A5"/>
    <w:rsid w:val="00545882"/>
    <w:rsid w:val="00573344"/>
    <w:rsid w:val="00583F9B"/>
    <w:rsid w:val="005E5C10"/>
    <w:rsid w:val="005F2C78"/>
    <w:rsid w:val="006144E4"/>
    <w:rsid w:val="00650299"/>
    <w:rsid w:val="00655FC5"/>
    <w:rsid w:val="00822581"/>
    <w:rsid w:val="008309DD"/>
    <w:rsid w:val="0083227A"/>
    <w:rsid w:val="00866900"/>
    <w:rsid w:val="00881BA1"/>
    <w:rsid w:val="008C26B8"/>
    <w:rsid w:val="008C31EF"/>
    <w:rsid w:val="00923F24"/>
    <w:rsid w:val="00982084"/>
    <w:rsid w:val="00995963"/>
    <w:rsid w:val="009B61EB"/>
    <w:rsid w:val="009C2064"/>
    <w:rsid w:val="009D1697"/>
    <w:rsid w:val="009E483E"/>
    <w:rsid w:val="00A014F8"/>
    <w:rsid w:val="00A5173C"/>
    <w:rsid w:val="00A61AEF"/>
    <w:rsid w:val="00A65CA6"/>
    <w:rsid w:val="00AF173A"/>
    <w:rsid w:val="00B066A4"/>
    <w:rsid w:val="00B07A13"/>
    <w:rsid w:val="00B4279B"/>
    <w:rsid w:val="00B45FC9"/>
    <w:rsid w:val="00B6592F"/>
    <w:rsid w:val="00BC7CCF"/>
    <w:rsid w:val="00BE470B"/>
    <w:rsid w:val="00BE64E2"/>
    <w:rsid w:val="00C57A91"/>
    <w:rsid w:val="00CC01C2"/>
    <w:rsid w:val="00CF21F2"/>
    <w:rsid w:val="00D02712"/>
    <w:rsid w:val="00D214D0"/>
    <w:rsid w:val="00D6546B"/>
    <w:rsid w:val="00DD4BED"/>
    <w:rsid w:val="00DE39F0"/>
    <w:rsid w:val="00DF0AF3"/>
    <w:rsid w:val="00E06013"/>
    <w:rsid w:val="00E27D7E"/>
    <w:rsid w:val="00E42E13"/>
    <w:rsid w:val="00E6257C"/>
    <w:rsid w:val="00E63C59"/>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V"/>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ListParagraph">
    <w:name w:val="List Paragraph"/>
    <w:basedOn w:val="Normal"/>
    <w:uiPriority w:val="34"/>
    <w:qFormat/>
    <w:rsid w:val="00A65CA6"/>
    <w:pPr>
      <w:tabs>
        <w:tab w:val="clear" w:pos="1134"/>
        <w:tab w:val="clear" w:pos="1871"/>
        <w:tab w:val="clear" w:pos="2268"/>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 w:val="22"/>
      <w:szCs w:val="22"/>
      <w:lang w:val="en-US"/>
    </w:rPr>
  </w:style>
  <w:style w:type="character" w:customStyle="1" w:styleId="HeaderChar">
    <w:name w:val="Header Char"/>
    <w:basedOn w:val="DefaultParagraphFont"/>
    <w:link w:val="Header"/>
    <w:uiPriority w:val="99"/>
    <w:rsid w:val="00A65CA6"/>
    <w:rPr>
      <w:rFonts w:ascii="Times New Roman" w:hAnsi="Times New Roman"/>
      <w:sz w:val="18"/>
      <w:lang w:val="en-GB" w:eastAsia="en-US"/>
    </w:rPr>
  </w:style>
  <w:style w:type="character" w:customStyle="1" w:styleId="FooterChar">
    <w:name w:val="Footer Char"/>
    <w:basedOn w:val="DefaultParagraphFont"/>
    <w:link w:val="Footer"/>
    <w:uiPriority w:val="99"/>
    <w:rsid w:val="00A65CA6"/>
    <w:rPr>
      <w:rFonts w:ascii="Times New Roman" w:hAnsi="Times New Roman"/>
      <w:caps/>
      <w:noProof/>
      <w:sz w:val="16"/>
      <w:lang w:val="en-GB" w:eastAsia="en-US"/>
    </w:rPr>
  </w:style>
  <w:style w:type="table" w:styleId="TableGrid">
    <w:name w:val="Table Grid"/>
    <w:basedOn w:val="TableNormal"/>
    <w:uiPriority w:val="59"/>
    <w:rsid w:val="00A65CA6"/>
    <w:rPr>
      <w:rFonts w:asciiTheme="minorHAnsi" w:eastAsiaTheme="minorEastAsia"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A65CA6"/>
    <w:rPr>
      <w:rFonts w:ascii="Times New Roman" w:hAnsi="Times New Roman"/>
      <w:sz w:val="24"/>
      <w:lang w:val="en-GB" w:eastAsia="en-US"/>
    </w:rPr>
  </w:style>
  <w:style w:type="character" w:customStyle="1" w:styleId="CallChar">
    <w:name w:val="Call Char"/>
    <w:link w:val="Call"/>
    <w:uiPriority w:val="99"/>
    <w:locked/>
    <w:rsid w:val="00A65CA6"/>
    <w:rPr>
      <w:rFonts w:ascii="Times New Roman" w:hAnsi="Times New Roman"/>
      <w:i/>
      <w:sz w:val="24"/>
      <w:lang w:val="en-GB" w:eastAsia="en-US"/>
    </w:rPr>
  </w:style>
  <w:style w:type="character" w:customStyle="1" w:styleId="enumlev1Char">
    <w:name w:val="enumlev1 Char"/>
    <w:link w:val="enumlev1"/>
    <w:locked/>
    <w:rsid w:val="00A65CA6"/>
    <w:rPr>
      <w:rFonts w:ascii="Times New Roman" w:hAnsi="Times New Roman"/>
      <w:sz w:val="24"/>
      <w:lang w:val="en-GB" w:eastAsia="en-US"/>
    </w:rPr>
  </w:style>
  <w:style w:type="character" w:customStyle="1" w:styleId="TabletextChar">
    <w:name w:val="Table_text Char"/>
    <w:link w:val="Tabletext"/>
    <w:uiPriority w:val="99"/>
    <w:rsid w:val="00A65CA6"/>
    <w:rPr>
      <w:rFonts w:ascii="Times New Roman" w:hAnsi="Times New Roman"/>
      <w:lang w:val="en-GB" w:eastAsia="en-US"/>
    </w:rPr>
  </w:style>
  <w:style w:type="character" w:styleId="Hyperlink">
    <w:name w:val="Hyperlink"/>
    <w:basedOn w:val="DefaultParagraphFont"/>
    <w:uiPriority w:val="99"/>
    <w:unhideWhenUsed/>
    <w:rsid w:val="00A65C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rsid w:val="00E63C5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V"/>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ListParagraph">
    <w:name w:val="List Paragraph"/>
    <w:basedOn w:val="Normal"/>
    <w:uiPriority w:val="34"/>
    <w:qFormat/>
    <w:rsid w:val="00A65CA6"/>
    <w:pPr>
      <w:tabs>
        <w:tab w:val="clear" w:pos="1134"/>
        <w:tab w:val="clear" w:pos="1871"/>
        <w:tab w:val="clear" w:pos="2268"/>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 w:val="22"/>
      <w:szCs w:val="22"/>
      <w:lang w:val="en-US"/>
    </w:rPr>
  </w:style>
  <w:style w:type="character" w:customStyle="1" w:styleId="HeaderChar">
    <w:name w:val="Header Char"/>
    <w:basedOn w:val="DefaultParagraphFont"/>
    <w:link w:val="Header"/>
    <w:uiPriority w:val="99"/>
    <w:rsid w:val="00A65CA6"/>
    <w:rPr>
      <w:rFonts w:ascii="Times New Roman" w:hAnsi="Times New Roman"/>
      <w:sz w:val="18"/>
      <w:lang w:val="en-GB" w:eastAsia="en-US"/>
    </w:rPr>
  </w:style>
  <w:style w:type="character" w:customStyle="1" w:styleId="FooterChar">
    <w:name w:val="Footer Char"/>
    <w:basedOn w:val="DefaultParagraphFont"/>
    <w:link w:val="Footer"/>
    <w:uiPriority w:val="99"/>
    <w:rsid w:val="00A65CA6"/>
    <w:rPr>
      <w:rFonts w:ascii="Times New Roman" w:hAnsi="Times New Roman"/>
      <w:caps/>
      <w:noProof/>
      <w:sz w:val="16"/>
      <w:lang w:val="en-GB" w:eastAsia="en-US"/>
    </w:rPr>
  </w:style>
  <w:style w:type="table" w:styleId="TableGrid">
    <w:name w:val="Table Grid"/>
    <w:basedOn w:val="TableNormal"/>
    <w:uiPriority w:val="59"/>
    <w:rsid w:val="00A65CA6"/>
    <w:rPr>
      <w:rFonts w:asciiTheme="minorHAnsi" w:eastAsiaTheme="minorEastAsia"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A65CA6"/>
    <w:rPr>
      <w:rFonts w:ascii="Times New Roman" w:hAnsi="Times New Roman"/>
      <w:sz w:val="24"/>
      <w:lang w:val="en-GB" w:eastAsia="en-US"/>
    </w:rPr>
  </w:style>
  <w:style w:type="character" w:customStyle="1" w:styleId="CallChar">
    <w:name w:val="Call Char"/>
    <w:link w:val="Call"/>
    <w:uiPriority w:val="99"/>
    <w:locked/>
    <w:rsid w:val="00A65CA6"/>
    <w:rPr>
      <w:rFonts w:ascii="Times New Roman" w:hAnsi="Times New Roman"/>
      <w:i/>
      <w:sz w:val="24"/>
      <w:lang w:val="en-GB" w:eastAsia="en-US"/>
    </w:rPr>
  </w:style>
  <w:style w:type="character" w:customStyle="1" w:styleId="enumlev1Char">
    <w:name w:val="enumlev1 Char"/>
    <w:link w:val="enumlev1"/>
    <w:locked/>
    <w:rsid w:val="00A65CA6"/>
    <w:rPr>
      <w:rFonts w:ascii="Times New Roman" w:hAnsi="Times New Roman"/>
      <w:sz w:val="24"/>
      <w:lang w:val="en-GB" w:eastAsia="en-US"/>
    </w:rPr>
  </w:style>
  <w:style w:type="character" w:customStyle="1" w:styleId="TabletextChar">
    <w:name w:val="Table_text Char"/>
    <w:link w:val="Tabletext"/>
    <w:uiPriority w:val="99"/>
    <w:rsid w:val="00A65CA6"/>
    <w:rPr>
      <w:rFonts w:ascii="Times New Roman" w:hAnsi="Times New Roman"/>
      <w:lang w:val="en-GB" w:eastAsia="en-US"/>
    </w:rPr>
  </w:style>
  <w:style w:type="character" w:styleId="Hyperlink">
    <w:name w:val="Hyperlink"/>
    <w:basedOn w:val="DefaultParagraphFont"/>
    <w:uiPriority w:val="99"/>
    <w:unhideWhenUsed/>
    <w:rsid w:val="00A65C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vid.botha@itu.int"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Sergio.buonomo@itu.i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jamieson@ava.co.n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tu.int/pub/R-REP-M.2039-2-2010"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6C2E5-6914-4F89-909B-D9B1D948D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66</TotalTime>
  <Pages>12</Pages>
  <Words>3381</Words>
  <Characters>17843</Characters>
  <Application>Microsoft Office Word</Application>
  <DocSecurity>0</DocSecurity>
  <Lines>148</Lines>
  <Paragraphs>42</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1	Background</vt:lpstr>
      <vt:lpstr>2	Discussion</vt:lpstr>
      <vt:lpstr>3	Proposal</vt:lpstr>
      <vt:lpstr>1	Background</vt:lpstr>
      <vt:lpstr>2	Information needed to be developed for sharing studies under AI 1.1 and 1.2</vt:lpstr>
      <vt:lpstr>3)	Request to 3GPP and IEEE</vt:lpstr>
      <vt:lpstr>4	Administrative information</vt:lpstr>
    </vt:vector>
  </TitlesOfParts>
  <Manager/>
  <Company/>
  <LinksUpToDate>false</LinksUpToDate>
  <CharactersWithSpaces>21182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capdessu</dc:creator>
  <cp:keywords/>
  <dc:description/>
  <cp:lastModifiedBy>capdessu</cp:lastModifiedBy>
  <cp:revision>7</cp:revision>
  <cp:lastPrinted>2012-07-09T10:39:00Z</cp:lastPrinted>
  <dcterms:created xsi:type="dcterms:W3CDTF">2012-07-09T09:45:00Z</dcterms:created>
  <dcterms:modified xsi:type="dcterms:W3CDTF">2012-07-09T14:48:00Z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